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B9EB" w14:textId="77777777" w:rsidR="004F0A5D" w:rsidRPr="00BA7982" w:rsidRDefault="004F0A5D" w:rsidP="004F0A5D">
      <w:pPr>
        <w:pStyle w:val="Heading1Orange"/>
        <w:rPr>
          <w:rFonts w:ascii="Arial" w:hAnsi="Arial" w:cs="Arial"/>
        </w:rPr>
      </w:pPr>
      <w:r w:rsidRPr="00BA7982">
        <w:rPr>
          <w:rFonts w:ascii="Arial" w:hAnsi="Arial" w:cs="Arial"/>
        </w:rPr>
        <w:t>AAG</w:t>
      </w:r>
    </w:p>
    <w:p w14:paraId="2A96240B" w14:textId="77777777" w:rsidR="004F0A5D" w:rsidRPr="00BA7982" w:rsidRDefault="004F0A5D" w:rsidP="004F0A5D">
      <w:pPr>
        <w:pStyle w:val="Heading2"/>
        <w:rPr>
          <w:rFonts w:ascii="Arial" w:hAnsi="Arial" w:cs="Arial"/>
        </w:rPr>
      </w:pPr>
    </w:p>
    <w:p w14:paraId="5CF19243" w14:textId="77777777" w:rsidR="004F0A5D" w:rsidRPr="00BA7982" w:rsidRDefault="004F0A5D" w:rsidP="004F0A5D">
      <w:pPr>
        <w:pStyle w:val="Heading2"/>
        <w:rPr>
          <w:rFonts w:ascii="Arial" w:hAnsi="Arial" w:cs="Arial"/>
          <w:sz w:val="28"/>
        </w:rPr>
      </w:pPr>
      <w:r w:rsidRPr="00BA7982">
        <w:rPr>
          <w:rFonts w:ascii="Arial" w:hAnsi="Arial" w:cs="Arial"/>
          <w:sz w:val="28"/>
        </w:rPr>
        <w:t>Minutes of Meeting</w:t>
      </w:r>
    </w:p>
    <w:p w14:paraId="3A84ED21" w14:textId="77777777" w:rsidR="004F0A5D" w:rsidRPr="00BA7982" w:rsidRDefault="004F0A5D" w:rsidP="004F0A5D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4F0A5D" w:rsidRPr="00FC0F85" w14:paraId="1E976FAA" w14:textId="77777777" w:rsidTr="00A143D4">
        <w:trPr>
          <w:trHeight w:val="454"/>
        </w:trPr>
        <w:tc>
          <w:tcPr>
            <w:tcW w:w="2160" w:type="dxa"/>
            <w:vAlign w:val="center"/>
          </w:tcPr>
          <w:p w14:paraId="1889EE32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7560" w:type="dxa"/>
            <w:vAlign w:val="center"/>
          </w:tcPr>
          <w:p w14:paraId="7E83BA85" w14:textId="44DCEFE8" w:rsidR="004F0A5D" w:rsidRPr="00FC0F85" w:rsidRDefault="00F0446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426B9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/0</w:t>
            </w:r>
            <w:r w:rsidR="00F426B9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/2023</w:t>
            </w:r>
          </w:p>
        </w:tc>
      </w:tr>
      <w:tr w:rsidR="004F0A5D" w:rsidRPr="00FC0F85" w14:paraId="6BA3FC5B" w14:textId="77777777" w:rsidTr="00A143D4">
        <w:trPr>
          <w:trHeight w:val="454"/>
        </w:trPr>
        <w:tc>
          <w:tcPr>
            <w:tcW w:w="2160" w:type="dxa"/>
            <w:vAlign w:val="center"/>
          </w:tcPr>
          <w:p w14:paraId="32A37D3D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7560" w:type="dxa"/>
            <w:vAlign w:val="center"/>
          </w:tcPr>
          <w:p w14:paraId="450854A4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10:00am-12:00pm</w:t>
            </w:r>
          </w:p>
        </w:tc>
      </w:tr>
      <w:tr w:rsidR="004F0A5D" w:rsidRPr="00FC0F85" w14:paraId="65B3484B" w14:textId="77777777" w:rsidTr="00A143D4">
        <w:trPr>
          <w:trHeight w:val="454"/>
        </w:trPr>
        <w:tc>
          <w:tcPr>
            <w:tcW w:w="2160" w:type="dxa"/>
            <w:vAlign w:val="center"/>
          </w:tcPr>
          <w:p w14:paraId="0D1514AA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560" w:type="dxa"/>
            <w:vAlign w:val="center"/>
          </w:tcPr>
          <w:p w14:paraId="7CC67CEB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MS Teams Call</w:t>
            </w:r>
          </w:p>
        </w:tc>
      </w:tr>
      <w:tr w:rsidR="004F0A5D" w:rsidRPr="00FC0F85" w14:paraId="21F5F607" w14:textId="77777777" w:rsidTr="00A143D4">
        <w:trPr>
          <w:trHeight w:val="737"/>
        </w:trPr>
        <w:tc>
          <w:tcPr>
            <w:tcW w:w="2160" w:type="dxa"/>
            <w:vAlign w:val="center"/>
          </w:tcPr>
          <w:p w14:paraId="29E94814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  <w:tc>
          <w:tcPr>
            <w:tcW w:w="7560" w:type="dxa"/>
            <w:vAlign w:val="center"/>
          </w:tcPr>
          <w:p w14:paraId="757EF124" w14:textId="326F53CD" w:rsidR="004F0A5D" w:rsidRPr="00AF790D" w:rsidRDefault="00EB06C5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Ruth Jennings –</w:t>
            </w:r>
            <w:r w:rsidR="00505E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Sainsbury’s (Chair),</w:t>
            </w:r>
            <w:r w:rsidR="004F6B4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110D7" w:rsidRPr="001110D7">
              <w:rPr>
                <w:rFonts w:ascii="Arial" w:hAnsi="Arial" w:cs="Arial"/>
                <w:b/>
                <w:sz w:val="22"/>
                <w:szCs w:val="22"/>
              </w:rPr>
              <w:t>George Brown – SQA Accreditation</w:t>
            </w:r>
            <w:r w:rsidR="001110D7">
              <w:rPr>
                <w:rFonts w:ascii="Arial" w:hAnsi="Arial" w:cs="Arial"/>
                <w:b/>
                <w:sz w:val="22"/>
                <w:szCs w:val="22"/>
              </w:rPr>
              <w:t xml:space="preserve"> (Vice</w:t>
            </w:r>
            <w:r w:rsidR="00BF6F5A"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="001110D7">
              <w:rPr>
                <w:rFonts w:ascii="Arial" w:hAnsi="Arial" w:cs="Arial"/>
                <w:b/>
                <w:sz w:val="22"/>
                <w:szCs w:val="22"/>
              </w:rPr>
              <w:t xml:space="preserve">hair), </w:t>
            </w:r>
            <w:r w:rsidR="004F0A5D" w:rsidRPr="00AF11FD">
              <w:rPr>
                <w:rFonts w:ascii="Arial" w:hAnsi="Arial" w:cs="Arial"/>
                <w:b/>
                <w:sz w:val="22"/>
                <w:szCs w:val="22"/>
              </w:rPr>
              <w:t>Sheila Dunn – The SCQF Partnership,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Diane</w:t>
            </w:r>
            <w:r w:rsidR="00E17228">
              <w:rPr>
                <w:rFonts w:ascii="Arial" w:hAnsi="Arial" w:cs="Arial"/>
                <w:b/>
                <w:sz w:val="22"/>
                <w:szCs w:val="22"/>
              </w:rPr>
              <w:t xml:space="preserve"> Mitchell – West Lothian College</w:t>
            </w:r>
            <w:r w:rsidR="008645F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1064D">
              <w:rPr>
                <w:rFonts w:ascii="Arial" w:hAnsi="Arial" w:cs="Arial"/>
                <w:b/>
                <w:sz w:val="22"/>
                <w:szCs w:val="22"/>
              </w:rPr>
              <w:t>Nicola Crawford – Education Scotland,</w:t>
            </w:r>
            <w:r w:rsidR="003971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1730">
              <w:rPr>
                <w:rFonts w:ascii="Arial" w:hAnsi="Arial" w:cs="Arial"/>
                <w:b/>
                <w:sz w:val="22"/>
                <w:szCs w:val="22"/>
              </w:rPr>
              <w:t>Bethany Welsh – Balfour Beatty,</w:t>
            </w:r>
            <w:r w:rsidR="00AD0A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5EB4">
              <w:rPr>
                <w:rFonts w:ascii="Arial" w:hAnsi="Arial" w:cs="Arial"/>
                <w:b/>
                <w:sz w:val="22"/>
                <w:szCs w:val="22"/>
              </w:rPr>
              <w:t xml:space="preserve">Gaynor Cook – BT, </w:t>
            </w:r>
            <w:r w:rsidR="00290FFD" w:rsidRPr="00290FFD">
              <w:rPr>
                <w:rFonts w:ascii="Arial" w:hAnsi="Arial" w:cs="Arial"/>
                <w:b/>
                <w:sz w:val="22"/>
                <w:szCs w:val="22"/>
              </w:rPr>
              <w:t>Matthew Barr – Glasgow University,</w:t>
            </w:r>
            <w:r w:rsidR="00290FFD" w:rsidRPr="00290F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52727" w:rsidRPr="00CB7404">
              <w:rPr>
                <w:rFonts w:ascii="Arial" w:hAnsi="Arial" w:cs="Arial"/>
                <w:b/>
                <w:sz w:val="22"/>
                <w:szCs w:val="22"/>
              </w:rPr>
              <w:t>Terry Dillon – SDS</w:t>
            </w:r>
            <w:r w:rsidR="007530F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B465A">
              <w:rPr>
                <w:rFonts w:ascii="Arial" w:hAnsi="Arial" w:cs="Arial"/>
                <w:b/>
                <w:sz w:val="22"/>
                <w:szCs w:val="22"/>
              </w:rPr>
              <w:t>Nicola Conner – SDS (Secretariat)</w:t>
            </w:r>
          </w:p>
        </w:tc>
      </w:tr>
    </w:tbl>
    <w:p w14:paraId="494A7DCF" w14:textId="77777777" w:rsidR="004F0A5D" w:rsidRPr="00FC0F85" w:rsidRDefault="004F0A5D" w:rsidP="004F0A5D">
      <w:pPr>
        <w:pStyle w:val="Introduction"/>
        <w:rPr>
          <w:rFonts w:ascii="Arial" w:hAnsi="Arial" w:cs="Arial"/>
          <w:sz w:val="22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992"/>
      </w:tblGrid>
      <w:tr w:rsidR="004F0A5D" w:rsidRPr="00FC0F85" w14:paraId="0B840A5B" w14:textId="77777777" w:rsidTr="00073C19">
        <w:trPr>
          <w:trHeight w:val="578"/>
        </w:trPr>
        <w:tc>
          <w:tcPr>
            <w:tcW w:w="8648" w:type="dxa"/>
            <w:gridSpan w:val="2"/>
            <w:shd w:val="clear" w:color="auto" w:fill="FFFFFF"/>
          </w:tcPr>
          <w:p w14:paraId="49C94B09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A507422" w14:textId="2033F6B3" w:rsidR="004F0A5D" w:rsidRPr="00FC0F85" w:rsidRDefault="004F0A5D" w:rsidP="00442467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FC0F8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4F0A5D" w:rsidRPr="00FC0F85" w14:paraId="0B733767" w14:textId="77777777" w:rsidTr="00073C19">
        <w:trPr>
          <w:trHeight w:val="347"/>
        </w:trPr>
        <w:tc>
          <w:tcPr>
            <w:tcW w:w="851" w:type="dxa"/>
            <w:shd w:val="clear" w:color="auto" w:fill="FFFFFF"/>
          </w:tcPr>
          <w:p w14:paraId="638DFBE7" w14:textId="7C6B4223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5905CB9F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Apologies &amp; Guests</w:t>
            </w:r>
          </w:p>
        </w:tc>
        <w:tc>
          <w:tcPr>
            <w:tcW w:w="992" w:type="dxa"/>
            <w:shd w:val="clear" w:color="auto" w:fill="FFFFFF"/>
          </w:tcPr>
          <w:p w14:paraId="4E617285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F0A5D" w:rsidRPr="00FC0F85" w14:paraId="7947F8F6" w14:textId="77777777" w:rsidTr="00073C19">
        <w:tc>
          <w:tcPr>
            <w:tcW w:w="851" w:type="dxa"/>
            <w:shd w:val="clear" w:color="auto" w:fill="FFFFFF"/>
          </w:tcPr>
          <w:p w14:paraId="5E213126" w14:textId="77777777" w:rsidR="004F0A5D" w:rsidRPr="00C86D26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FFFFFF"/>
          </w:tcPr>
          <w:p w14:paraId="322BCE7B" w14:textId="18C60AAD" w:rsidR="004343A9" w:rsidRDefault="004343A9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Apologies</w:t>
            </w:r>
          </w:p>
          <w:p w14:paraId="30684583" w14:textId="32FC4198" w:rsidR="007530FB" w:rsidRPr="00290FFD" w:rsidRDefault="004F5735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90FFD">
              <w:rPr>
                <w:rFonts w:ascii="Arial" w:hAnsi="Arial" w:cs="Arial"/>
                <w:bCs/>
                <w:sz w:val="20"/>
                <w:szCs w:val="20"/>
              </w:rPr>
              <w:t xml:space="preserve">Stevie Lynn </w:t>
            </w:r>
            <w:r w:rsidR="004C3354" w:rsidRPr="00290FFD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F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3354" w:rsidRPr="00290FFD">
              <w:rPr>
                <w:rFonts w:ascii="Arial" w:hAnsi="Arial" w:cs="Arial"/>
                <w:bCs/>
                <w:sz w:val="20"/>
                <w:szCs w:val="20"/>
              </w:rPr>
              <w:t>Scottish Power</w:t>
            </w:r>
            <w:r w:rsidR="00766E7B" w:rsidRPr="00290FFD">
              <w:rPr>
                <w:rFonts w:ascii="Arial" w:hAnsi="Arial" w:cs="Arial"/>
                <w:bCs/>
                <w:sz w:val="20"/>
                <w:szCs w:val="20"/>
              </w:rPr>
              <w:t>, John Cairns – Balfour Beatty</w:t>
            </w:r>
            <w:r w:rsidR="00947B07" w:rsidRPr="00290FF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2600D" w:rsidRPr="00290FFD">
              <w:rPr>
                <w:rFonts w:ascii="Arial" w:hAnsi="Arial" w:cs="Arial"/>
                <w:bCs/>
                <w:sz w:val="20"/>
                <w:szCs w:val="20"/>
              </w:rPr>
              <w:t>Stuart McKenna – STF,</w:t>
            </w:r>
            <w:r w:rsidR="00290F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600D" w:rsidRPr="00290FFD">
              <w:rPr>
                <w:rFonts w:ascii="Arial" w:hAnsi="Arial" w:cs="Arial"/>
                <w:bCs/>
                <w:sz w:val="20"/>
                <w:szCs w:val="20"/>
              </w:rPr>
              <w:t>Catherine Ferry – Scottish Government</w:t>
            </w:r>
            <w:r w:rsidR="00881C02" w:rsidRPr="00290FF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8578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60B1C" w:rsidRPr="008578C4">
              <w:rPr>
                <w:rFonts w:ascii="Arial" w:hAnsi="Arial" w:cs="Arial"/>
                <w:bCs/>
                <w:sz w:val="20"/>
                <w:szCs w:val="20"/>
              </w:rPr>
              <w:t xml:space="preserve">Tommy Breslin </w:t>
            </w:r>
            <w:r w:rsidR="0039714B" w:rsidRPr="008578C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760B1C" w:rsidRPr="008578C4">
              <w:rPr>
                <w:rFonts w:ascii="Arial" w:hAnsi="Arial" w:cs="Arial"/>
                <w:bCs/>
                <w:sz w:val="20"/>
                <w:szCs w:val="20"/>
              </w:rPr>
              <w:t xml:space="preserve"> STUC</w:t>
            </w:r>
            <w:r w:rsidR="0039714B" w:rsidRPr="008578C4">
              <w:rPr>
                <w:rFonts w:ascii="Arial" w:hAnsi="Arial" w:cs="Arial"/>
                <w:bCs/>
                <w:sz w:val="20"/>
                <w:szCs w:val="20"/>
              </w:rPr>
              <w:t>, Alison Bailey-Bucknell – FISSS</w:t>
            </w:r>
            <w:r w:rsidR="00290FFD" w:rsidRPr="008578C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751BA2">
              <w:rPr>
                <w:rFonts w:ascii="Arial" w:hAnsi="Arial" w:cs="Arial"/>
                <w:bCs/>
                <w:sz w:val="20"/>
                <w:szCs w:val="20"/>
              </w:rPr>
              <w:t>Alison Eales</w:t>
            </w:r>
            <w:r w:rsidR="005144AB">
              <w:rPr>
                <w:rFonts w:ascii="Arial" w:hAnsi="Arial" w:cs="Arial"/>
                <w:bCs/>
                <w:sz w:val="20"/>
                <w:szCs w:val="20"/>
              </w:rPr>
              <w:t xml:space="preserve"> - QAA</w:t>
            </w:r>
          </w:p>
          <w:p w14:paraId="5AFD43FB" w14:textId="77777777" w:rsidR="002A6838" w:rsidRDefault="002A6838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77721D" w14:textId="11551772" w:rsidR="007530FB" w:rsidRDefault="007530FB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Guests</w:t>
            </w:r>
          </w:p>
          <w:p w14:paraId="3B893D2F" w14:textId="76694616" w:rsidR="00485409" w:rsidRPr="00C86D26" w:rsidRDefault="00290FFD" w:rsidP="00290FF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Laura McEwan</w:t>
            </w:r>
            <w:r w:rsidR="007530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308D6">
              <w:rPr>
                <w:rFonts w:ascii="Arial" w:hAnsi="Arial" w:cs="Arial"/>
                <w:bCs/>
                <w:sz w:val="20"/>
                <w:szCs w:val="20"/>
              </w:rPr>
              <w:t>– Skills Development Scotland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Colin Young - Leonardo</w:t>
            </w:r>
          </w:p>
        </w:tc>
        <w:tc>
          <w:tcPr>
            <w:tcW w:w="992" w:type="dxa"/>
            <w:shd w:val="clear" w:color="auto" w:fill="FFFFFF"/>
          </w:tcPr>
          <w:p w14:paraId="1AFD0F7D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F0A5D" w:rsidRPr="00FC0F85" w14:paraId="5BD5FF74" w14:textId="77777777" w:rsidTr="00073C19">
        <w:trPr>
          <w:trHeight w:val="352"/>
        </w:trPr>
        <w:tc>
          <w:tcPr>
            <w:tcW w:w="851" w:type="dxa"/>
            <w:shd w:val="clear" w:color="auto" w:fill="FFFFFF"/>
          </w:tcPr>
          <w:p w14:paraId="5926EB4E" w14:textId="412C8131" w:rsidR="004F0A5D" w:rsidRPr="00FC0F85" w:rsidRDefault="00950194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0A5D" w:rsidRPr="00FC0F8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451DE594" w14:textId="0DD4E85F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Welcome</w:t>
            </w:r>
            <w:r w:rsidR="00B90891">
              <w:rPr>
                <w:rFonts w:ascii="Arial" w:hAnsi="Arial" w:cs="Arial"/>
                <w:b/>
                <w:sz w:val="22"/>
                <w:szCs w:val="22"/>
              </w:rPr>
              <w:t xml:space="preserve"> &amp; Previous Minutes</w:t>
            </w:r>
          </w:p>
        </w:tc>
        <w:tc>
          <w:tcPr>
            <w:tcW w:w="992" w:type="dxa"/>
            <w:shd w:val="clear" w:color="auto" w:fill="FFFFFF"/>
          </w:tcPr>
          <w:p w14:paraId="26FD3B3B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F0A5D" w:rsidRPr="00FC0F85" w14:paraId="14D24B6F" w14:textId="77777777" w:rsidTr="00073C19">
        <w:tc>
          <w:tcPr>
            <w:tcW w:w="851" w:type="dxa"/>
            <w:shd w:val="clear" w:color="auto" w:fill="FFFFFF"/>
          </w:tcPr>
          <w:p w14:paraId="3BB5E7BF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369E2CB7" w14:textId="63510E4F" w:rsidR="001C12DB" w:rsidRDefault="00FF2F7B" w:rsidP="0070022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g</w:t>
            </w:r>
            <w:r w:rsidR="00667749">
              <w:rPr>
                <w:rFonts w:ascii="Arial" w:hAnsi="Arial" w:cs="Arial"/>
                <w:bCs/>
                <w:sz w:val="20"/>
                <w:szCs w:val="20"/>
              </w:rPr>
              <w:t>roup welcome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667749">
              <w:rPr>
                <w:rFonts w:ascii="Arial" w:hAnsi="Arial" w:cs="Arial"/>
                <w:bCs/>
                <w:sz w:val="20"/>
                <w:szCs w:val="20"/>
              </w:rPr>
              <w:t xml:space="preserve"> Colin Young from Leonardo who is joining the meeting to observe as a potential future member. </w:t>
            </w:r>
          </w:p>
          <w:p w14:paraId="5CC9B0EA" w14:textId="77777777" w:rsidR="00667749" w:rsidRDefault="00667749" w:rsidP="0070022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A19A35" w14:textId="3422937B" w:rsidR="00667749" w:rsidRPr="00FF2F7B" w:rsidRDefault="004C6DE9" w:rsidP="0070022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F2F7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Previous minutes &amp; actions </w:t>
            </w:r>
          </w:p>
          <w:p w14:paraId="7D1CCE9D" w14:textId="77777777" w:rsidR="004C6DE9" w:rsidRDefault="004C6DE9" w:rsidP="0070022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838A68" w14:textId="08D2F37F" w:rsidR="004C6DE9" w:rsidRPr="00AD2942" w:rsidRDefault="00E62A83" w:rsidP="0070022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D294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NC to facilitate conversation with GB and relevant development manager with regards to the use of NOS and resulting qualification</w:t>
            </w:r>
            <w:r w:rsidR="00936A5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type</w:t>
            </w:r>
            <w:r w:rsidRPr="00AD2942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  <w:p w14:paraId="2146CC46" w14:textId="77777777" w:rsidR="00E62A83" w:rsidRDefault="00E62A83" w:rsidP="0070022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72407E" w14:textId="0546066F" w:rsidR="00E62A83" w:rsidRPr="0070022A" w:rsidRDefault="005D3683" w:rsidP="0070022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Stage Gate 4 for Digital </w:t>
            </w:r>
            <w:r w:rsidR="00FF2F7B">
              <w:rPr>
                <w:rFonts w:ascii="Arial" w:hAnsi="Arial" w:cs="Arial"/>
                <w:bCs/>
                <w:sz w:val="20"/>
                <w:szCs w:val="20"/>
              </w:rPr>
              <w:t>will be brought back to the next meeting</w:t>
            </w:r>
            <w:r w:rsidR="00D84E24">
              <w:rPr>
                <w:rFonts w:ascii="Arial" w:hAnsi="Arial" w:cs="Arial"/>
                <w:bCs/>
                <w:sz w:val="20"/>
                <w:szCs w:val="20"/>
              </w:rPr>
              <w:t xml:space="preserve">, as </w:t>
            </w:r>
            <w:r w:rsidR="00AA02AD">
              <w:rPr>
                <w:rFonts w:ascii="Arial" w:hAnsi="Arial" w:cs="Arial"/>
                <w:bCs/>
                <w:sz w:val="20"/>
                <w:szCs w:val="20"/>
              </w:rPr>
              <w:t>information from internal colleagues</w:t>
            </w:r>
            <w:r w:rsidR="00181CF3">
              <w:rPr>
                <w:rFonts w:ascii="Arial" w:hAnsi="Arial" w:cs="Arial"/>
                <w:bCs/>
                <w:sz w:val="20"/>
                <w:szCs w:val="20"/>
              </w:rPr>
              <w:t xml:space="preserve"> is still required. Plumbing at Stage Gate Zero will also be pushed to next month </w:t>
            </w:r>
            <w:r w:rsidR="00B8009A">
              <w:rPr>
                <w:rFonts w:ascii="Arial" w:hAnsi="Arial" w:cs="Arial"/>
                <w:bCs/>
                <w:sz w:val="20"/>
                <w:szCs w:val="20"/>
              </w:rPr>
              <w:t>because of</w:t>
            </w:r>
            <w:r w:rsidR="00AD2942">
              <w:rPr>
                <w:rFonts w:ascii="Arial" w:hAnsi="Arial" w:cs="Arial"/>
                <w:bCs/>
                <w:sz w:val="20"/>
                <w:szCs w:val="20"/>
              </w:rPr>
              <w:t xml:space="preserve"> annual leave and procurement</w:t>
            </w:r>
            <w:r w:rsidR="00B8009A">
              <w:rPr>
                <w:rFonts w:ascii="Arial" w:hAnsi="Arial" w:cs="Arial"/>
                <w:bCs/>
                <w:sz w:val="20"/>
                <w:szCs w:val="20"/>
              </w:rPr>
              <w:t xml:space="preserve"> processes</w:t>
            </w:r>
            <w:r w:rsidR="00AD294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5B0563A" w14:textId="4EEC1C1B" w:rsidR="000203DA" w:rsidRPr="00531E27" w:rsidRDefault="000203DA" w:rsidP="005F13D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D46E7B9" w14:textId="77777777" w:rsidR="004F0A5D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03F5618" w14:textId="77777777" w:rsidR="002B6B5E" w:rsidRDefault="002B6B5E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E69C6CB" w14:textId="77777777" w:rsidR="002B6B5E" w:rsidRDefault="002B6B5E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2AB1459" w14:textId="77777777" w:rsidR="00AD2942" w:rsidRDefault="00AD2942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EAF418B" w14:textId="77777777" w:rsidR="00AD2942" w:rsidRDefault="00AD2942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8E8C4C9" w14:textId="03C59E4B" w:rsidR="00AD2942" w:rsidRPr="00FC0F85" w:rsidRDefault="00AD2942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NCo</w:t>
            </w:r>
            <w:proofErr w:type="spellEnd"/>
          </w:p>
        </w:tc>
      </w:tr>
      <w:tr w:rsidR="00AC0873" w:rsidRPr="00FC0F85" w14:paraId="4D9DA718" w14:textId="77777777" w:rsidTr="00073C19">
        <w:trPr>
          <w:trHeight w:val="423"/>
        </w:trPr>
        <w:tc>
          <w:tcPr>
            <w:tcW w:w="851" w:type="dxa"/>
            <w:shd w:val="clear" w:color="auto" w:fill="FFFFFF"/>
          </w:tcPr>
          <w:p w14:paraId="381D6521" w14:textId="11782F89" w:rsidR="00AC0873" w:rsidRPr="00FC0F85" w:rsidRDefault="0082424C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C0873" w:rsidRPr="00FC0F8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5ABD8119" w14:textId="2E1D3836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Development Manager Update  </w:t>
            </w:r>
          </w:p>
        </w:tc>
        <w:tc>
          <w:tcPr>
            <w:tcW w:w="992" w:type="dxa"/>
            <w:shd w:val="clear" w:color="auto" w:fill="FFFFFF"/>
          </w:tcPr>
          <w:p w14:paraId="330E7B51" w14:textId="77777777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AC0873" w:rsidRPr="00FC0F85" w14:paraId="087B915A" w14:textId="77777777" w:rsidTr="00073C19">
        <w:trPr>
          <w:trHeight w:val="644"/>
        </w:trPr>
        <w:tc>
          <w:tcPr>
            <w:tcW w:w="851" w:type="dxa"/>
            <w:shd w:val="clear" w:color="auto" w:fill="FFFFFF"/>
          </w:tcPr>
          <w:p w14:paraId="3420274D" w14:textId="77777777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5714135D" w14:textId="77777777" w:rsidR="00C0384A" w:rsidRDefault="00C0384A" w:rsidP="00333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3B5D3" w14:textId="0C7AFD9C" w:rsidR="005C3325" w:rsidRDefault="00134D63" w:rsidP="00B47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LM </w:t>
            </w:r>
            <w:r w:rsidR="00BB0E03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presented the development manager update to the group</w:t>
            </w:r>
            <w:r w:rsidR="007B5FE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FDB3CD4" w14:textId="77777777" w:rsidR="007B5FE9" w:rsidRDefault="007B5FE9" w:rsidP="00B47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36C5E0" w14:textId="270E052E" w:rsidR="007B5FE9" w:rsidRDefault="007B5FE9" w:rsidP="00B47766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7B5FE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Engineering</w:t>
            </w:r>
          </w:p>
          <w:p w14:paraId="2AF78A76" w14:textId="77777777" w:rsidR="007B5FE9" w:rsidRDefault="007B5FE9" w:rsidP="00B47766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0065E370" w14:textId="77777777" w:rsidR="007760F7" w:rsidRDefault="007760F7" w:rsidP="007760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TD highlighted to the group that a couple of Training Providers have raised concerns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SVQ units at L6 for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abrication and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>elding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particularly 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>math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ematic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>s) might be too difficult for apprentices to complete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0079B59" w14:textId="77777777" w:rsidR="007760F7" w:rsidRDefault="007760F7" w:rsidP="007760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AC0ACD" w14:textId="4BB6C442" w:rsidR="007760F7" w:rsidRDefault="007760F7" w:rsidP="007760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>Enginuity</w:t>
            </w:r>
            <w:proofErr w:type="spellEnd"/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200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SDS 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been </w:t>
            </w:r>
            <w:r w:rsidR="00AC4A32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consulting with the sector on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6514"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and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take industry view on </w:t>
            </w:r>
            <w:r w:rsidR="00976514">
              <w:rPr>
                <w:rFonts w:ascii="Arial" w:hAnsi="Arial" w:cs="Arial"/>
                <w:color w:val="000000" w:themeColor="text1"/>
                <w:sz w:val="20"/>
                <w:szCs w:val="20"/>
              </w:rPr>
              <w:t>how to best move forward.</w:t>
            </w:r>
            <w:r w:rsidR="002F47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Consultation will </w:t>
            </w:r>
            <w:r w:rsidR="002B59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help provide 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solutions for 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employers and T</w:t>
            </w:r>
            <w:r w:rsidR="002B5975">
              <w:rPr>
                <w:rFonts w:ascii="Arial" w:hAnsi="Arial" w:cs="Arial"/>
                <w:color w:val="000000" w:themeColor="text1"/>
                <w:sz w:val="20"/>
                <w:szCs w:val="20"/>
              </w:rPr>
              <w:t>raining Provider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>s with those concerns (</w:t>
            </w:r>
            <w:r w:rsidR="00F24856"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>i.e.,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extending the range of NC units).</w:t>
            </w:r>
          </w:p>
          <w:p w14:paraId="0BC36AD5" w14:textId="77777777" w:rsidR="00AC4A32" w:rsidRPr="007760F7" w:rsidRDefault="00AC4A32" w:rsidP="007760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CE96FF" w14:textId="23150FBE" w:rsidR="00E47F71" w:rsidRDefault="007760F7" w:rsidP="007760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DM </w:t>
            </w:r>
            <w:r w:rsidR="002B5975">
              <w:rPr>
                <w:rFonts w:ascii="Arial" w:hAnsi="Arial" w:cs="Arial"/>
                <w:color w:val="000000" w:themeColor="text1"/>
                <w:sz w:val="20"/>
                <w:szCs w:val="20"/>
              </w:rPr>
              <w:t>highlighted that the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College W</w:t>
            </w:r>
            <w:r w:rsidR="00A70D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ork 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A70D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ased 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A70D10">
              <w:rPr>
                <w:rFonts w:ascii="Arial" w:hAnsi="Arial" w:cs="Arial"/>
                <w:color w:val="000000" w:themeColor="text1"/>
                <w:sz w:val="20"/>
                <w:szCs w:val="20"/>
              </w:rPr>
              <w:t>earning</w:t>
            </w:r>
            <w:r w:rsidR="002B59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group</w:t>
            </w:r>
            <w:r w:rsidRPr="007760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be </w:t>
            </w:r>
            <w:r w:rsidR="002B5975">
              <w:rPr>
                <w:rFonts w:ascii="Arial" w:hAnsi="Arial" w:cs="Arial"/>
                <w:color w:val="000000" w:themeColor="text1"/>
                <w:sz w:val="20"/>
                <w:szCs w:val="20"/>
              </w:rPr>
              <w:t>taking place</w:t>
            </w:r>
            <w:r w:rsidR="00E47F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September and suggested it would be a good opportunity </w:t>
            </w:r>
            <w:r w:rsidR="00DC4E28">
              <w:rPr>
                <w:rFonts w:ascii="Arial" w:hAnsi="Arial" w:cs="Arial"/>
                <w:color w:val="000000" w:themeColor="text1"/>
                <w:sz w:val="20"/>
                <w:szCs w:val="20"/>
              </w:rPr>
              <w:t>for TD to attend</w:t>
            </w:r>
            <w:r w:rsidR="00DF1F2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E47F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7E939E1" w14:textId="77777777" w:rsidR="00E47F71" w:rsidRDefault="00E47F71" w:rsidP="007760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4283B8" w14:textId="5A96E27E" w:rsidR="007B5FE9" w:rsidRPr="007760F7" w:rsidRDefault="007760F7" w:rsidP="007760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4856">
              <w:rPr>
                <w:rFonts w:ascii="Arial" w:hAnsi="Arial" w:cs="Arial"/>
                <w:color w:val="FF0000"/>
                <w:sz w:val="20"/>
                <w:szCs w:val="20"/>
              </w:rPr>
              <w:t xml:space="preserve">TD will </w:t>
            </w:r>
            <w:r w:rsidR="00DF1F2E" w:rsidRPr="00F24856">
              <w:rPr>
                <w:rFonts w:ascii="Arial" w:hAnsi="Arial" w:cs="Arial"/>
                <w:color w:val="FF0000"/>
                <w:sz w:val="20"/>
                <w:szCs w:val="20"/>
              </w:rPr>
              <w:t>drop a note to DM to discuss how to best get involved with this.</w:t>
            </w:r>
          </w:p>
          <w:p w14:paraId="1DD32A4B" w14:textId="77777777" w:rsidR="007B5FE9" w:rsidRDefault="007B5FE9" w:rsidP="00B47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8E5879" w14:textId="7541E59A" w:rsidR="00BF01D5" w:rsidRDefault="00BF01D5" w:rsidP="00B47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RJ noted that it is interesting to see how the timelines are progressing</w:t>
            </w:r>
            <w:r w:rsidR="007311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and the increased focus on NOS. </w:t>
            </w:r>
            <w:r w:rsidR="00AF56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RJ also noted that following on from the inform on NOS </w:t>
            </w:r>
            <w:r w:rsidR="003D56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during the face-to-face meeting, it would be good to further understand how NOS are now being incorporated into the TEG approach. </w:t>
            </w:r>
          </w:p>
          <w:p w14:paraId="63E25553" w14:textId="77777777" w:rsidR="003D566B" w:rsidRDefault="003D566B" w:rsidP="00B47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11D428" w14:textId="1FD8E9FE" w:rsidR="005C7B22" w:rsidRDefault="004A7F5F" w:rsidP="00B47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group felt it would be beneficial to see a</w:t>
            </w:r>
            <w:r w:rsidR="00827503">
              <w:rPr>
                <w:rFonts w:ascii="Arial" w:hAnsi="Arial" w:cs="Arial"/>
                <w:color w:val="000000" w:themeColor="text1"/>
                <w:sz w:val="20"/>
                <w:szCs w:val="20"/>
              </w:rPr>
              <w:t>n updated map of the current/upcoming developments</w:t>
            </w:r>
            <w:r w:rsidR="005C7B22">
              <w:rPr>
                <w:rFonts w:ascii="Arial" w:hAnsi="Arial" w:cs="Arial"/>
                <w:color w:val="000000" w:themeColor="text1"/>
                <w:sz w:val="20"/>
                <w:szCs w:val="20"/>
              </w:rPr>
              <w:t>, and the overall phased plan</w:t>
            </w:r>
            <w:r w:rsidR="001677A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1682D823" w14:textId="77777777" w:rsidR="0035639B" w:rsidRDefault="0035639B" w:rsidP="00B477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2026D2" w14:textId="4F48299C" w:rsidR="0035639B" w:rsidRPr="004E69A1" w:rsidRDefault="0035639B" w:rsidP="00B4776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69A1">
              <w:rPr>
                <w:rFonts w:ascii="Arial" w:hAnsi="Arial" w:cs="Arial"/>
                <w:color w:val="FF0000"/>
                <w:sz w:val="20"/>
                <w:szCs w:val="20"/>
              </w:rPr>
              <w:t>TD will bring</w:t>
            </w:r>
            <w:r w:rsidR="005C7B22" w:rsidRPr="004E69A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677A9">
              <w:rPr>
                <w:rFonts w:ascii="Arial" w:hAnsi="Arial" w:cs="Arial"/>
                <w:color w:val="FF0000"/>
                <w:sz w:val="20"/>
                <w:szCs w:val="20"/>
              </w:rPr>
              <w:t>an up-to-date version of</w:t>
            </w:r>
            <w:r w:rsidR="00BC45F4" w:rsidRPr="004E69A1">
              <w:rPr>
                <w:rFonts w:ascii="Arial" w:hAnsi="Arial" w:cs="Arial"/>
                <w:color w:val="FF0000"/>
                <w:sz w:val="20"/>
                <w:szCs w:val="20"/>
              </w:rPr>
              <w:t xml:space="preserve"> the phased plan to the next meeting</w:t>
            </w:r>
            <w:r w:rsidR="004E69A1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305C814E" w14:textId="4D8E8A51" w:rsidR="00B47766" w:rsidRPr="00F11B86" w:rsidRDefault="00B47766" w:rsidP="00134D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9B617CE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86BCC64" w14:textId="77777777" w:rsidR="00D77184" w:rsidRDefault="00D77184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6659A05" w14:textId="77777777" w:rsidR="00624D66" w:rsidRDefault="00624D6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3D40BBA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74CC210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C8CF3AE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85E3248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DA9FA88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CD3620B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2EDF752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77BEC30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F35E1B0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EF8283E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E60C98A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B789CD2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DB7BADD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DE83648" w14:textId="77777777" w:rsidR="00F24856" w:rsidRDefault="00F24856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</w:p>
          <w:p w14:paraId="5937504D" w14:textId="77777777" w:rsidR="004E69A1" w:rsidRDefault="004E69A1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4E71C59" w14:textId="77777777" w:rsidR="004E69A1" w:rsidRDefault="004E69A1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0991B08" w14:textId="77777777" w:rsidR="004E69A1" w:rsidRDefault="004E69A1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B61DDDB" w14:textId="77777777" w:rsidR="004E69A1" w:rsidRDefault="004E69A1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BC311ED" w14:textId="77777777" w:rsidR="004E69A1" w:rsidRDefault="004E69A1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AC9CDE4" w14:textId="77777777" w:rsidR="004E69A1" w:rsidRDefault="004E69A1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D309FB5" w14:textId="77777777" w:rsidR="004E69A1" w:rsidRDefault="004E69A1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996603C" w14:textId="77777777" w:rsidR="004E69A1" w:rsidRDefault="004E69A1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4547E3C" w14:textId="552DDF1B" w:rsidR="004E69A1" w:rsidRPr="00FC0F85" w:rsidRDefault="004E69A1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</w:p>
        </w:tc>
      </w:tr>
      <w:tr w:rsidR="00AC0873" w:rsidRPr="00FC0F85" w14:paraId="58829D41" w14:textId="77777777" w:rsidTr="00073C19">
        <w:trPr>
          <w:trHeight w:val="414"/>
        </w:trPr>
        <w:tc>
          <w:tcPr>
            <w:tcW w:w="851" w:type="dxa"/>
            <w:shd w:val="clear" w:color="auto" w:fill="FFFFFF"/>
          </w:tcPr>
          <w:p w14:paraId="0783DD1A" w14:textId="6731619C" w:rsidR="00AC0873" w:rsidRPr="00FC0F85" w:rsidRDefault="0082424C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  <w:r w:rsidR="00AC0873" w:rsidRPr="00FC0F8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68C5D2C9" w14:textId="797C0329" w:rsidR="00AC0873" w:rsidRPr="00FC0F85" w:rsidRDefault="00FE1730" w:rsidP="00AC08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Digital Technology (Stage Gate 4 approval)</w:t>
            </w:r>
            <w:r w:rsidR="003B7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B41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08344689" w14:textId="77777777" w:rsidR="00AC0873" w:rsidRPr="00FC0F85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AC0873" w:rsidRPr="00FC0F85" w14:paraId="0A85174D" w14:textId="77777777" w:rsidTr="00073C19">
        <w:trPr>
          <w:trHeight w:val="830"/>
        </w:trPr>
        <w:tc>
          <w:tcPr>
            <w:tcW w:w="851" w:type="dxa"/>
            <w:shd w:val="clear" w:color="auto" w:fill="FFFFFF"/>
          </w:tcPr>
          <w:p w14:paraId="25D7BC41" w14:textId="45D4D392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69C1E8BD" w14:textId="59085BCF" w:rsidR="00D53A4F" w:rsidRDefault="008D0218" w:rsidP="00FE17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Frameworks were unable to be approved previously due to </w:t>
            </w:r>
            <w:r w:rsidR="009D1345">
              <w:rPr>
                <w:rFonts w:ascii="Arial" w:hAnsi="Arial" w:cs="Arial"/>
                <w:bCs/>
                <w:sz w:val="20"/>
                <w:szCs w:val="20"/>
              </w:rPr>
              <w:t xml:space="preserve">not meeting quorum for approval. </w:t>
            </w:r>
            <w:r w:rsidR="00A20E4B">
              <w:rPr>
                <w:rFonts w:ascii="Arial" w:hAnsi="Arial" w:cs="Arial"/>
                <w:bCs/>
                <w:sz w:val="20"/>
                <w:szCs w:val="20"/>
              </w:rPr>
              <w:t xml:space="preserve">Feedback regarding the Delivery of Training </w:t>
            </w:r>
            <w:r w:rsidR="00D3557B">
              <w:rPr>
                <w:rFonts w:ascii="Arial" w:hAnsi="Arial" w:cs="Arial"/>
                <w:bCs/>
                <w:sz w:val="20"/>
                <w:szCs w:val="20"/>
              </w:rPr>
              <w:t>section has been implemented following support from DM and SM. DM sense checked with colleagues and the section now provides more clarity for Training Providers.</w:t>
            </w:r>
          </w:p>
          <w:p w14:paraId="6DD1B630" w14:textId="363EF1E5" w:rsidR="00D3557B" w:rsidRDefault="00D3557B" w:rsidP="00FE17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  <w:t>SD highlighted that the parts of the qualification codes are still missing on the L8 documentat</w:t>
            </w:r>
            <w:r w:rsidR="00C04CC6">
              <w:rPr>
                <w:rFonts w:ascii="Arial" w:hAnsi="Arial" w:cs="Arial"/>
                <w:bCs/>
                <w:sz w:val="20"/>
                <w:szCs w:val="20"/>
              </w:rPr>
              <w:t xml:space="preserve">ion. </w:t>
            </w:r>
          </w:p>
          <w:p w14:paraId="59F37C30" w14:textId="77777777" w:rsidR="00C04CC6" w:rsidRDefault="00C04CC6" w:rsidP="00FE17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8E045D" w14:textId="5F86FF98" w:rsidR="00C04CC6" w:rsidRPr="007412CD" w:rsidRDefault="00C04CC6" w:rsidP="00FE173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 w:rsidRPr="007412C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NCo</w:t>
            </w:r>
            <w:proofErr w:type="spellEnd"/>
            <w:r w:rsidRPr="007412C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to ensure qualification codes are complete before sending for upload.</w:t>
            </w:r>
          </w:p>
          <w:p w14:paraId="65600336" w14:textId="77777777" w:rsidR="008D0218" w:rsidRDefault="008D0218" w:rsidP="00FE17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A62BE" w14:textId="222E4D81" w:rsidR="008075AF" w:rsidRDefault="00201203" w:rsidP="00FE17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Member</w:t>
            </w:r>
            <w:r w:rsidR="00695C5E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raised that the progression to Technical and Graduate Apprenticeships could be misleading to apprentices, as they might think they can progress from a Level 6 in IT Support to a </w:t>
            </w:r>
            <w:r w:rsidR="00C17B9F">
              <w:rPr>
                <w:rFonts w:ascii="Arial" w:hAnsi="Arial" w:cs="Arial"/>
                <w:bCs/>
                <w:sz w:val="20"/>
                <w:szCs w:val="20"/>
              </w:rPr>
              <w:t>TA/GA in Software Development, which would not be likely.</w:t>
            </w:r>
          </w:p>
          <w:p w14:paraId="30E22A58" w14:textId="77777777" w:rsidR="00C17B9F" w:rsidRDefault="00C17B9F" w:rsidP="00FE17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F413BE" w14:textId="6C244925" w:rsidR="00C17B9F" w:rsidRDefault="00695C5E" w:rsidP="00FE17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Members suggested added in a sentence </w:t>
            </w:r>
            <w:r w:rsidR="00D074F0">
              <w:rPr>
                <w:rFonts w:ascii="Arial" w:hAnsi="Arial" w:cs="Arial"/>
                <w:bCs/>
                <w:sz w:val="20"/>
                <w:szCs w:val="20"/>
              </w:rPr>
              <w:t>specifying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</w:t>
            </w:r>
            <w:r w:rsidR="00D074F0">
              <w:rPr>
                <w:rFonts w:ascii="Arial" w:hAnsi="Arial" w:cs="Arial"/>
                <w:bCs/>
                <w:sz w:val="20"/>
                <w:szCs w:val="20"/>
              </w:rPr>
              <w:t xml:space="preserve">hat ‘relevant pathways may lead to progression in..’. </w:t>
            </w:r>
          </w:p>
          <w:p w14:paraId="3D70BB5D" w14:textId="77777777" w:rsidR="0075174F" w:rsidRDefault="0075174F" w:rsidP="00E2275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A006608" w14:textId="01B41032" w:rsidR="00D074F0" w:rsidRPr="009D62BD" w:rsidRDefault="00D074F0" w:rsidP="00E22753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proofErr w:type="spellStart"/>
            <w:r w:rsidRPr="009D62B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NCo</w:t>
            </w:r>
            <w:proofErr w:type="spellEnd"/>
            <w:r w:rsidRPr="009D62BD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and TD will amend section and consult with MB before </w:t>
            </w:r>
            <w:r w:rsidR="008D0218" w:rsidRPr="009D62BD">
              <w:rPr>
                <w:rFonts w:ascii="Arial" w:hAnsi="Arial" w:cs="Arial"/>
                <w:bCs/>
                <w:color w:val="FF0000"/>
                <w:sz w:val="20"/>
                <w:szCs w:val="20"/>
              </w:rPr>
              <w:t>publishing.</w:t>
            </w:r>
          </w:p>
          <w:p w14:paraId="2916C98E" w14:textId="77777777" w:rsidR="008D0218" w:rsidRDefault="008D0218" w:rsidP="00E2275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E59B2D5" w14:textId="7A05CF58" w:rsidR="008D0218" w:rsidRPr="00C6623E" w:rsidRDefault="00C6623E" w:rsidP="00E2275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623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AAG approved the frameworks with the minor amends above to be made before publishing.</w:t>
            </w:r>
          </w:p>
          <w:p w14:paraId="082EA164" w14:textId="239BB1A3" w:rsidR="003C1EAE" w:rsidRPr="00EB752C" w:rsidRDefault="003C1EAE" w:rsidP="00134D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1849ECF" w14:textId="770609B5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7751749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83F250E" w14:textId="77777777" w:rsidR="00C11B13" w:rsidRDefault="00C11B1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1D462AC" w14:textId="77777777" w:rsidR="007412CD" w:rsidRDefault="007412C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D559B53" w14:textId="77777777" w:rsidR="007412CD" w:rsidRDefault="007412C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6200B76" w14:textId="77777777" w:rsidR="007412CD" w:rsidRDefault="007412C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977BF45" w14:textId="77777777" w:rsidR="007412CD" w:rsidRDefault="007412C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DC965AE" w14:textId="2327D587" w:rsidR="007412CD" w:rsidRDefault="007412C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NCo</w:t>
            </w:r>
            <w:proofErr w:type="spellEnd"/>
          </w:p>
          <w:p w14:paraId="36991894" w14:textId="77777777" w:rsidR="009D62BD" w:rsidRDefault="009D62B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6F30D8E" w14:textId="77777777" w:rsidR="009D62BD" w:rsidRDefault="009D62B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47A83DC" w14:textId="77777777" w:rsidR="009D62BD" w:rsidRDefault="009D62B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9920B7A" w14:textId="77777777" w:rsidR="009D62BD" w:rsidRDefault="009D62B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7DD2847" w14:textId="77777777" w:rsidR="009D62BD" w:rsidRDefault="009D62B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6AAB497" w14:textId="77777777" w:rsidR="009D62BD" w:rsidRDefault="009D62B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8B0943F" w14:textId="77777777" w:rsidR="009D62BD" w:rsidRDefault="009D62B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88E1C23" w14:textId="30953B8F" w:rsidR="009D62BD" w:rsidRDefault="009D62BD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NCo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/TD</w:t>
            </w:r>
          </w:p>
          <w:p w14:paraId="7FF23917" w14:textId="226FB41E" w:rsidR="005F5CA8" w:rsidRPr="00FC0F85" w:rsidRDefault="005F5CA8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FF4F38" w:rsidRPr="00FC0F85" w14:paraId="1E092AB7" w14:textId="77777777" w:rsidTr="00073C19">
        <w:trPr>
          <w:trHeight w:val="353"/>
        </w:trPr>
        <w:tc>
          <w:tcPr>
            <w:tcW w:w="851" w:type="dxa"/>
            <w:shd w:val="clear" w:color="auto" w:fill="FFFFFF"/>
          </w:tcPr>
          <w:p w14:paraId="1E9D16C3" w14:textId="19CB1F06" w:rsidR="00FF4F38" w:rsidRDefault="0058471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F4F3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797" w:type="dxa"/>
            <w:shd w:val="clear" w:color="auto" w:fill="FFFFFF"/>
          </w:tcPr>
          <w:p w14:paraId="0B7EF46F" w14:textId="3004E87A" w:rsidR="00FF4F38" w:rsidRPr="00FF4F38" w:rsidRDefault="00134D63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Fashion &amp; Textiles at SCQF Level 7 </w:t>
            </w:r>
          </w:p>
        </w:tc>
        <w:tc>
          <w:tcPr>
            <w:tcW w:w="992" w:type="dxa"/>
            <w:shd w:val="clear" w:color="auto" w:fill="FFFFFF"/>
          </w:tcPr>
          <w:p w14:paraId="207405A4" w14:textId="77777777" w:rsidR="00FF4F38" w:rsidRPr="00FC0F85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FF4F38" w:rsidRPr="00FC0F85" w14:paraId="19A00F03" w14:textId="77777777" w:rsidTr="00073C19">
        <w:trPr>
          <w:trHeight w:val="795"/>
        </w:trPr>
        <w:tc>
          <w:tcPr>
            <w:tcW w:w="851" w:type="dxa"/>
            <w:shd w:val="clear" w:color="auto" w:fill="FFFFFF"/>
          </w:tcPr>
          <w:p w14:paraId="60B8628E" w14:textId="77777777" w:rsid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05E8F71F" w14:textId="77777777" w:rsidR="003C1EAE" w:rsidRDefault="00EF7170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The framework for Fashion &amp; Textiles </w:t>
            </w:r>
            <w:r w:rsidR="009A4A51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at SCQF Level 7 has been updated with a new SVQ, and an updated Core Skills Mapping.</w:t>
            </w:r>
          </w:p>
          <w:p w14:paraId="08523D02" w14:textId="3A2B8315" w:rsidR="00794645" w:rsidRDefault="00794645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AAG </w:t>
            </w:r>
            <w:r w:rsidR="00802A0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members felt that there could potentially be more up to date statistics in the framework </w:t>
            </w:r>
            <w:r w:rsidR="00E95D97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document but overall were happy with the submission.</w:t>
            </w:r>
          </w:p>
          <w:p w14:paraId="1CA9C4A5" w14:textId="2C8A6DDA" w:rsidR="00802A0A" w:rsidRPr="00E95D97" w:rsidRDefault="00802A0A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D97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AAG approved the change to this framework</w:t>
            </w:r>
          </w:p>
        </w:tc>
        <w:tc>
          <w:tcPr>
            <w:tcW w:w="992" w:type="dxa"/>
            <w:shd w:val="clear" w:color="auto" w:fill="FFFFFF"/>
          </w:tcPr>
          <w:p w14:paraId="23E6844E" w14:textId="77777777" w:rsid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7E9A65D" w14:textId="5B190B73" w:rsidR="000D4A42" w:rsidRPr="00FC0F85" w:rsidRDefault="000D4A4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5B4199" w:rsidRPr="00FC0F85" w14:paraId="1DCE9BC9" w14:textId="77777777" w:rsidTr="00F20C80">
        <w:trPr>
          <w:trHeight w:val="378"/>
        </w:trPr>
        <w:tc>
          <w:tcPr>
            <w:tcW w:w="851" w:type="dxa"/>
            <w:shd w:val="clear" w:color="auto" w:fill="FFFFFF"/>
          </w:tcPr>
          <w:p w14:paraId="5F62BAE2" w14:textId="6A3C213C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7797" w:type="dxa"/>
            <w:shd w:val="clear" w:color="auto" w:fill="FFFFFF"/>
          </w:tcPr>
          <w:p w14:paraId="69A866F0" w14:textId="4187E6C9" w:rsidR="005B4199" w:rsidRPr="005B4199" w:rsidRDefault="00134D63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Digital Marketing at SCQF Level 6 </w:t>
            </w:r>
          </w:p>
        </w:tc>
        <w:tc>
          <w:tcPr>
            <w:tcW w:w="992" w:type="dxa"/>
            <w:shd w:val="clear" w:color="auto" w:fill="FFFFFF"/>
          </w:tcPr>
          <w:p w14:paraId="7C81E22C" w14:textId="77777777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5B4199" w:rsidRPr="00FC0F85" w14:paraId="34DEF39D" w14:textId="77777777" w:rsidTr="00073C19">
        <w:trPr>
          <w:trHeight w:val="795"/>
        </w:trPr>
        <w:tc>
          <w:tcPr>
            <w:tcW w:w="851" w:type="dxa"/>
            <w:shd w:val="clear" w:color="auto" w:fill="FFFFFF"/>
          </w:tcPr>
          <w:p w14:paraId="3FE98CA2" w14:textId="77777777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665B4450" w14:textId="77777777" w:rsidR="005969C3" w:rsidRDefault="002B3F50" w:rsidP="003A7337">
            <w:pPr>
              <w:tabs>
                <w:tab w:val="left" w:pos="720"/>
              </w:tabs>
              <w:spacing w:after="160" w:line="259" w:lineRule="auto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NCo</w:t>
            </w:r>
            <w:proofErr w:type="spellEnd"/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presented an update on the approach to </w:t>
            </w:r>
            <w:r w:rsidR="00485EE7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Digital Marketing at SCQF Level 6 and the new SVQ at SCQF Level 7.</w:t>
            </w:r>
          </w:p>
          <w:p w14:paraId="12940686" w14:textId="77777777" w:rsidR="00485EE7" w:rsidRDefault="00485EE7" w:rsidP="003A7337">
            <w:pPr>
              <w:tabs>
                <w:tab w:val="left" w:pos="720"/>
              </w:tabs>
              <w:spacing w:after="160" w:line="259" w:lineRule="auto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Members highlighted significant concerns over the lack of time for Providers to obtain approval and move onto using the new qualification.</w:t>
            </w:r>
          </w:p>
          <w:p w14:paraId="48975672" w14:textId="48B33E9A" w:rsidR="00D11D2C" w:rsidRDefault="00D11D2C" w:rsidP="003A7337">
            <w:pPr>
              <w:tabs>
                <w:tab w:val="left" w:pos="720"/>
              </w:tabs>
              <w:spacing w:after="160" w:line="259" w:lineRule="auto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GB informed the group that the accreditation </w:t>
            </w:r>
            <w:r w:rsidR="00C67D28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for the SVQ at L7 has been received, however an extension request for the Diploma in Digital Marketing </w:t>
            </w:r>
            <w:r w:rsidR="00CE15F3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at L6 </w:t>
            </w:r>
            <w:r w:rsidR="00C67D28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has been received, suggesting there may be delays in the SVQ at L7 becoming available.</w:t>
            </w:r>
          </w:p>
          <w:p w14:paraId="46EDC004" w14:textId="7AA78CE1" w:rsidR="00F41610" w:rsidRDefault="00C67D28" w:rsidP="00F41610">
            <w:pPr>
              <w:tabs>
                <w:tab w:val="left" w:pos="720"/>
              </w:tabs>
              <w:spacing w:after="160" w:line="259" w:lineRule="auto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Members </w:t>
            </w:r>
            <w:r w:rsidR="008F1248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agreed that the extension would provide more significant time to consult with Training Providers and ensure a more seamless transition for centres.</w:t>
            </w:r>
            <w:r w:rsidR="001E286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4161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GB added that the developer consulted with centres and employers when reviewing the SVQ, therefore there will be an awareness within the sector that there is a new qualification. </w:t>
            </w:r>
          </w:p>
          <w:p w14:paraId="6D3BE65D" w14:textId="4CDD4D97" w:rsidR="00D655F2" w:rsidRPr="007412CD" w:rsidRDefault="00D655F2" w:rsidP="00D655F2">
            <w:pPr>
              <w:tabs>
                <w:tab w:val="left" w:pos="720"/>
              </w:tabs>
              <w:spacing w:after="160" w:line="259" w:lineRule="auto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7412CD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NCo</w:t>
            </w:r>
            <w:proofErr w:type="spellEnd"/>
            <w:r w:rsidRPr="007412CD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and TD </w:t>
            </w:r>
            <w:r w:rsidR="003E5280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to work with colleagues to</w:t>
            </w:r>
            <w:r w:rsidRPr="007412CD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understand </w:t>
            </w:r>
            <w:r w:rsidR="0017404F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what support Training Providers will need to implement this change</w:t>
            </w:r>
            <w:r w:rsidRPr="007412CD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  <w:p w14:paraId="7DC4E649" w14:textId="241A9F26" w:rsidR="00D655F2" w:rsidRDefault="00F41610" w:rsidP="003A7337">
            <w:pPr>
              <w:tabs>
                <w:tab w:val="left" w:pos="720"/>
              </w:tabs>
              <w:spacing w:after="160" w:line="259" w:lineRule="auto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The group also agreed that an overall discussion is required on how changes to SVQs are communicated to Training Providers and how they can contribute and prepare for this</w:t>
            </w:r>
            <w:r w:rsidR="007412CD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14:paraId="3010756E" w14:textId="77777777" w:rsidR="005B4199" w:rsidRDefault="005B419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CDB325C" w14:textId="7777777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4B4ECAB" w14:textId="7777777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DE6D944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EC7B9ED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23A4D60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D1B9912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59010C8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04AC27F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FFBBF62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7B85357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AFE62B2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03077AD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52F9911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91477FB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396F835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8AB4702" w14:textId="633D88BE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NCo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, TD</w:t>
            </w:r>
          </w:p>
          <w:p w14:paraId="05C36AA5" w14:textId="0BE105A7" w:rsidR="00387F22" w:rsidRDefault="00387F2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B57F8C" w:rsidRPr="00FC0F85" w14:paraId="1A360DCE" w14:textId="77777777" w:rsidTr="00FA4652">
        <w:trPr>
          <w:trHeight w:val="489"/>
        </w:trPr>
        <w:tc>
          <w:tcPr>
            <w:tcW w:w="851" w:type="dxa"/>
            <w:shd w:val="clear" w:color="auto" w:fill="FFFFFF"/>
          </w:tcPr>
          <w:p w14:paraId="2742983C" w14:textId="07093053" w:rsidR="00B57F8C" w:rsidRDefault="00591EA9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B57F8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797" w:type="dxa"/>
            <w:shd w:val="clear" w:color="auto" w:fill="FFFFFF"/>
          </w:tcPr>
          <w:p w14:paraId="40D70406" w14:textId="0ACDF5B6" w:rsidR="00B57F8C" w:rsidRPr="00B57F8C" w:rsidRDefault="00B57F8C" w:rsidP="00CB49E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57F8C"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  <w:t>AOB</w:t>
            </w:r>
          </w:p>
        </w:tc>
        <w:tc>
          <w:tcPr>
            <w:tcW w:w="992" w:type="dxa"/>
            <w:shd w:val="clear" w:color="auto" w:fill="FFFFFF"/>
          </w:tcPr>
          <w:p w14:paraId="13C225EF" w14:textId="77777777" w:rsidR="00B57F8C" w:rsidRDefault="00B57F8C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B57F8C" w:rsidRPr="00FC0F85" w14:paraId="3BA6A739" w14:textId="77777777" w:rsidTr="00073C19">
        <w:trPr>
          <w:trHeight w:val="795"/>
        </w:trPr>
        <w:tc>
          <w:tcPr>
            <w:tcW w:w="851" w:type="dxa"/>
            <w:shd w:val="clear" w:color="auto" w:fill="FFFFFF"/>
          </w:tcPr>
          <w:p w14:paraId="26BC525B" w14:textId="77777777" w:rsidR="00B57F8C" w:rsidRDefault="00B57F8C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0265DFCA" w14:textId="77777777" w:rsidR="00CD6CD5" w:rsidRDefault="007D0C71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4161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Members </w:t>
            </w:r>
            <w:r w:rsidR="00F62D61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reviewed the upcoming SAAB dates and agreed AAG attendance.</w:t>
            </w:r>
          </w:p>
          <w:p w14:paraId="7F7549E3" w14:textId="77777777" w:rsidR="00F62D61" w:rsidRDefault="00F62D61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16</w:t>
            </w:r>
            <w:r w:rsidRPr="00F62D61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August</w:t>
            </w:r>
            <w:r w:rsidR="00D1129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, Employer Engagement – George Brown </w:t>
            </w:r>
          </w:p>
          <w:p w14:paraId="5644A416" w14:textId="36EF6F4B" w:rsidR="00D11299" w:rsidRDefault="00D11299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25</w:t>
            </w:r>
            <w:r w:rsidRPr="00D1129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August, </w:t>
            </w:r>
            <w:r w:rsidR="00CE00F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Employer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Equalities – Matthew Barr</w:t>
            </w:r>
          </w:p>
          <w:p w14:paraId="5ABEC3D1" w14:textId="0F1E636C" w:rsidR="00D11299" w:rsidRDefault="00D11299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29</w:t>
            </w:r>
            <w:r w:rsidRPr="00D1129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vertAlign w:val="superscript"/>
                <w:lang w:eastAsia="en-US"/>
              </w:rPr>
              <w:t>th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August, Apprentice</w:t>
            </w:r>
            <w:r w:rsidR="00CE00F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Engagement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– Bethany Welsh</w:t>
            </w:r>
          </w:p>
          <w:p w14:paraId="3F848A96" w14:textId="226F8B8D" w:rsidR="00CE00FA" w:rsidRPr="00CE00FA" w:rsidRDefault="00D11299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</w:pPr>
            <w:r w:rsidRPr="00CE00FA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RJ will inform Maxine of AAG </w:t>
            </w:r>
            <w:r w:rsidR="00CE00FA" w:rsidRPr="00CE00FA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member </w:t>
            </w:r>
            <w:r w:rsidRPr="00CE00FA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attend</w:t>
            </w:r>
            <w:r w:rsidR="00CE00FA" w:rsidRPr="00CE00FA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ance</w:t>
            </w:r>
            <w:r w:rsidR="00CE00FA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.</w:t>
            </w:r>
          </w:p>
          <w:p w14:paraId="0D165F63" w14:textId="459EB4B1" w:rsidR="00D11299" w:rsidRPr="00CE00FA" w:rsidRDefault="00D11299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CE00FA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NCo</w:t>
            </w:r>
            <w:proofErr w:type="spellEnd"/>
            <w:r w:rsidRPr="00CE00FA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will prepare slide</w:t>
            </w:r>
            <w:r w:rsidR="00CE00FA" w:rsidRPr="00CE00FA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deck for AAG update </w:t>
            </w:r>
            <w:r w:rsidRPr="00CE00FA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and share with RJ and TD for review.</w:t>
            </w:r>
          </w:p>
          <w:p w14:paraId="4918D324" w14:textId="77777777" w:rsidR="00D11299" w:rsidRDefault="00D11299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F04F3CA" w14:textId="2B78B982" w:rsidR="00FA244D" w:rsidRDefault="00C2584F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RJ shared with the group that she will be leaving Sainsbury’s but will remain as AAG Chair and working with SAAB and SG to support transition.</w:t>
            </w:r>
          </w:p>
          <w:p w14:paraId="2ACFAB20" w14:textId="77777777" w:rsidR="00FA244D" w:rsidRDefault="00FA244D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BW raised that the Scottish Apprenticeship week in March isn’t the best time for students, </w:t>
            </w:r>
            <w:r w:rsidR="00FC5474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>as it is exam time/coursework deadlines. CY agreed, adding that this isn’t the best time for employers either as it misses key recruitment windows for potential apprentices</w:t>
            </w:r>
            <w:r w:rsidR="00B2015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  <w:t xml:space="preserve"> – CY added that there is opportunity here to consult with employers/other stakeholders on the best time to hold this event.</w:t>
            </w:r>
          </w:p>
          <w:p w14:paraId="21B04194" w14:textId="5D74B738" w:rsidR="00B2015E" w:rsidRPr="00CD6CD5" w:rsidRDefault="00B2015E" w:rsidP="00CD6CD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412CD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TD </w:t>
            </w:r>
            <w:r w:rsidR="007412CD" w:rsidRPr="007412CD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will escalate this to the comms team/put members in touch with SDS colleagues who lead on this event </w:t>
            </w:r>
          </w:p>
        </w:tc>
        <w:tc>
          <w:tcPr>
            <w:tcW w:w="992" w:type="dxa"/>
            <w:shd w:val="clear" w:color="auto" w:fill="FFFFFF"/>
          </w:tcPr>
          <w:p w14:paraId="03CEF839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D97C3B9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7B966B0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0B4CCAC" w14:textId="77777777" w:rsidR="007330A8" w:rsidRDefault="007330A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4A49D88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50A56F3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8B3D83A" w14:textId="42FAFBD0" w:rsidR="007412CD" w:rsidRDefault="00CE00FA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RJ</w:t>
            </w:r>
          </w:p>
          <w:p w14:paraId="27AC8252" w14:textId="77777777" w:rsidR="00CE00FA" w:rsidRDefault="00CE00FA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AABEBCA" w14:textId="43C03366" w:rsidR="00CE00FA" w:rsidRDefault="00CE00FA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NCo</w:t>
            </w:r>
            <w:proofErr w:type="spellEnd"/>
          </w:p>
          <w:p w14:paraId="71E49E9B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F4230F4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BFF7DF1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0013C06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826A99D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EAC45C7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35B18D3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30F7883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F06A161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5AC2698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3A34C37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368848D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B69576F" w14:textId="77777777" w:rsidR="007412CD" w:rsidRDefault="007412CD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1D0A06A" w14:textId="258F610F" w:rsidR="00451D73" w:rsidRDefault="00451D73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</w:p>
        </w:tc>
      </w:tr>
    </w:tbl>
    <w:p w14:paraId="0A6CFE19" w14:textId="77777777" w:rsidR="004F0A5D" w:rsidRPr="00FC0F85" w:rsidRDefault="004F0A5D" w:rsidP="004F0A5D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4F0A5D" w:rsidRPr="00FC0F85" w14:paraId="09A85D0E" w14:textId="77777777" w:rsidTr="00F22C4B">
        <w:trPr>
          <w:trHeight w:val="324"/>
        </w:trPr>
        <w:tc>
          <w:tcPr>
            <w:tcW w:w="9640" w:type="dxa"/>
            <w:gridSpan w:val="2"/>
          </w:tcPr>
          <w:p w14:paraId="125CB56A" w14:textId="77777777" w:rsidR="004F0A5D" w:rsidRPr="00FC0F85" w:rsidRDefault="004F0A5D" w:rsidP="00442467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4F0A5D" w:rsidRPr="00FC0F85" w14:paraId="17452EF3" w14:textId="77777777" w:rsidTr="00F22C4B">
        <w:trPr>
          <w:trHeight w:val="309"/>
        </w:trPr>
        <w:tc>
          <w:tcPr>
            <w:tcW w:w="8648" w:type="dxa"/>
          </w:tcPr>
          <w:p w14:paraId="1B06A8BF" w14:textId="77777777" w:rsidR="004F0A5D" w:rsidRPr="00FC0F85" w:rsidRDefault="004F0A5D" w:rsidP="0044246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698465E0" w14:textId="77777777" w:rsidR="004F0A5D" w:rsidRPr="00FC0F85" w:rsidRDefault="004F0A5D" w:rsidP="0044246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4F0A5D" w:rsidRPr="00FC0F85" w14:paraId="566D135D" w14:textId="77777777" w:rsidTr="00F22C4B">
        <w:trPr>
          <w:trHeight w:val="324"/>
        </w:trPr>
        <w:tc>
          <w:tcPr>
            <w:tcW w:w="8648" w:type="dxa"/>
          </w:tcPr>
          <w:p w14:paraId="5426DB52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71B8B7B8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4F0A5D" w:rsidRPr="00FC0F85" w14:paraId="23E2F404" w14:textId="77777777" w:rsidTr="00B96ACE">
        <w:trPr>
          <w:trHeight w:val="324"/>
        </w:trPr>
        <w:tc>
          <w:tcPr>
            <w:tcW w:w="8648" w:type="dxa"/>
            <w:shd w:val="clear" w:color="auto" w:fill="FFC000"/>
          </w:tcPr>
          <w:p w14:paraId="318CCB00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Report back to AAG on uptake in OPS Framework in </w:t>
            </w:r>
            <w:r w:rsidRPr="00B96A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May 2023. </w:t>
            </w:r>
          </w:p>
        </w:tc>
        <w:tc>
          <w:tcPr>
            <w:tcW w:w="992" w:type="dxa"/>
          </w:tcPr>
          <w:p w14:paraId="01548E47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GW</w:t>
            </w:r>
          </w:p>
        </w:tc>
      </w:tr>
      <w:tr w:rsidR="004F0A5D" w:rsidRPr="00FC0F85" w14:paraId="7C8103D1" w14:textId="77777777" w:rsidTr="00F22C4B">
        <w:trPr>
          <w:trHeight w:val="309"/>
        </w:trPr>
        <w:tc>
          <w:tcPr>
            <w:tcW w:w="8648" w:type="dxa"/>
          </w:tcPr>
          <w:p w14:paraId="526A440B" w14:textId="3479FB3A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proofErr w:type="spellStart"/>
            <w:r w:rsidRPr="0049427F">
              <w:rPr>
                <w:rFonts w:ascii="Arial" w:hAnsi="Arial" w:cs="Arial"/>
                <w:sz w:val="20"/>
                <w:szCs w:val="20"/>
              </w:rPr>
              <w:t>ToR</w:t>
            </w:r>
            <w:proofErr w:type="spellEnd"/>
            <w:r w:rsidRPr="0049427F">
              <w:rPr>
                <w:rFonts w:ascii="Arial" w:hAnsi="Arial" w:cs="Arial"/>
                <w:sz w:val="20"/>
                <w:szCs w:val="20"/>
              </w:rPr>
              <w:t xml:space="preserve"> Document in </w:t>
            </w:r>
            <w:r w:rsidR="00E520CF" w:rsidRPr="00E520C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June</w:t>
            </w:r>
            <w:r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EE6A28"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C137A8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A90A1A" w:rsidRPr="00FC0F85" w14:paraId="0406042D" w14:textId="77777777" w:rsidTr="00F22C4B">
        <w:trPr>
          <w:trHeight w:val="309"/>
        </w:trPr>
        <w:tc>
          <w:tcPr>
            <w:tcW w:w="8648" w:type="dxa"/>
          </w:tcPr>
          <w:p w14:paraId="54D96E6D" w14:textId="1BA71658" w:rsidR="00A90A1A" w:rsidRPr="0049427F" w:rsidRDefault="00A90A1A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Continuous Improvement </w:t>
            </w:r>
            <w:r w:rsidR="00E520CF">
              <w:rPr>
                <w:rFonts w:ascii="Arial" w:hAnsi="Arial" w:cs="Arial"/>
                <w:sz w:val="20"/>
                <w:szCs w:val="20"/>
              </w:rPr>
              <w:t xml:space="preserve">Activity Update </w:t>
            </w:r>
            <w:r w:rsidR="00E520CF" w:rsidRPr="00136F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May</w:t>
            </w:r>
            <w:r w:rsidR="00136F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/June</w:t>
            </w:r>
            <w:r w:rsidR="00E520CF" w:rsidRPr="00136F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992" w:type="dxa"/>
          </w:tcPr>
          <w:p w14:paraId="346E3C24" w14:textId="572D92E0" w:rsidR="00A90A1A" w:rsidRPr="0049427F" w:rsidRDefault="00A90A1A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</w:tr>
      <w:tr w:rsidR="00957DA5" w:rsidRPr="00FC0F85" w14:paraId="52DBA484" w14:textId="77777777" w:rsidTr="00F22C4B">
        <w:trPr>
          <w:trHeight w:val="309"/>
        </w:trPr>
        <w:tc>
          <w:tcPr>
            <w:tcW w:w="8648" w:type="dxa"/>
          </w:tcPr>
          <w:p w14:paraId="7DAE41E5" w14:textId="4E6DA9C6" w:rsidR="00957DA5" w:rsidRPr="00957DA5" w:rsidRDefault="00957DA5" w:rsidP="0044246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 Digital Marketing update </w:t>
            </w:r>
            <w:r w:rsidRPr="00957D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August 2023 </w:t>
            </w:r>
          </w:p>
        </w:tc>
        <w:tc>
          <w:tcPr>
            <w:tcW w:w="992" w:type="dxa"/>
          </w:tcPr>
          <w:p w14:paraId="2122E5EE" w14:textId="285A42F5" w:rsidR="00957DA5" w:rsidRDefault="00957DA5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NCo</w:t>
            </w:r>
            <w:proofErr w:type="spellEnd"/>
          </w:p>
        </w:tc>
      </w:tr>
    </w:tbl>
    <w:p w14:paraId="6E8F378A" w14:textId="5C7AD801" w:rsidR="00596E11" w:rsidRDefault="00C2584F">
      <w:pPr>
        <w:rPr>
          <w:sz w:val="22"/>
          <w:szCs w:val="22"/>
        </w:rPr>
      </w:pPr>
    </w:p>
    <w:p w14:paraId="50CC2998" w14:textId="77777777" w:rsidR="00C2584F" w:rsidRDefault="00C2584F">
      <w:pPr>
        <w:rPr>
          <w:sz w:val="22"/>
          <w:szCs w:val="22"/>
        </w:rPr>
      </w:pPr>
    </w:p>
    <w:p w14:paraId="04C224BE" w14:textId="77777777" w:rsidR="00C2584F" w:rsidRDefault="00C2584F">
      <w:pPr>
        <w:rPr>
          <w:sz w:val="22"/>
          <w:szCs w:val="22"/>
        </w:rPr>
      </w:pPr>
    </w:p>
    <w:p w14:paraId="6FBD94AC" w14:textId="77777777" w:rsidR="00D83709" w:rsidRDefault="00D83709">
      <w:pPr>
        <w:rPr>
          <w:sz w:val="22"/>
          <w:szCs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7D6848" w:rsidRPr="00FC0F85" w14:paraId="4CDF434D" w14:textId="77777777" w:rsidTr="00D83709">
        <w:trPr>
          <w:trHeight w:val="321"/>
        </w:trPr>
        <w:tc>
          <w:tcPr>
            <w:tcW w:w="9640" w:type="dxa"/>
            <w:gridSpan w:val="2"/>
          </w:tcPr>
          <w:p w14:paraId="39495218" w14:textId="331957C9" w:rsidR="007D6848" w:rsidRPr="00FC0F85" w:rsidRDefault="00213880" w:rsidP="00213880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Apprenticeships Approved in Principle</w:t>
            </w:r>
            <w:r w:rsidR="00D83709">
              <w:rPr>
                <w:rFonts w:ascii="Arial" w:hAnsi="Arial" w:cs="Arial"/>
                <w:b/>
                <w:bCs/>
                <w:sz w:val="22"/>
              </w:rPr>
              <w:t xml:space="preserve"> (Stage Gate 3)</w:t>
            </w:r>
          </w:p>
        </w:tc>
      </w:tr>
      <w:tr w:rsidR="007D6848" w:rsidRPr="00FC0F85" w14:paraId="048A54A5" w14:textId="77777777" w:rsidTr="00134D63">
        <w:trPr>
          <w:trHeight w:val="309"/>
        </w:trPr>
        <w:tc>
          <w:tcPr>
            <w:tcW w:w="5954" w:type="dxa"/>
          </w:tcPr>
          <w:p w14:paraId="2C25BFFC" w14:textId="3FEE06AD" w:rsidR="007D6848" w:rsidRPr="00FC0F85" w:rsidRDefault="007D6848" w:rsidP="00930C4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686" w:type="dxa"/>
          </w:tcPr>
          <w:p w14:paraId="3F42E650" w14:textId="0136EB49" w:rsidR="007D6848" w:rsidRPr="00FC0F85" w:rsidRDefault="00213880" w:rsidP="00930C4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7D6848" w:rsidRPr="00FC0F85" w14:paraId="3E6AB01D" w14:textId="77777777" w:rsidTr="00134D63">
        <w:trPr>
          <w:trHeight w:val="324"/>
        </w:trPr>
        <w:tc>
          <w:tcPr>
            <w:tcW w:w="5954" w:type="dxa"/>
          </w:tcPr>
          <w:p w14:paraId="49DDFFA7" w14:textId="67645C41" w:rsidR="007D6848" w:rsidRPr="0049427F" w:rsidRDefault="00213880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Hairdressing &amp; Ba</w:t>
            </w:r>
            <w:r w:rsidR="00006A70">
              <w:rPr>
                <w:rFonts w:ascii="Arial" w:hAnsi="Arial" w:cs="Arial"/>
                <w:sz w:val="20"/>
                <w:szCs w:val="20"/>
              </w:rPr>
              <w:t>rbering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6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64A58EF8" w14:textId="69C4B44A" w:rsidR="007D6848" w:rsidRPr="0049427F" w:rsidRDefault="00006A70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  <w:tr w:rsidR="007D6848" w:rsidRPr="00FC0F85" w14:paraId="3ABEB14A" w14:textId="77777777" w:rsidTr="00134D63">
        <w:trPr>
          <w:trHeight w:val="324"/>
        </w:trPr>
        <w:tc>
          <w:tcPr>
            <w:tcW w:w="5954" w:type="dxa"/>
          </w:tcPr>
          <w:p w14:paraId="1DF31138" w14:textId="10340EB2" w:rsidR="007D6848" w:rsidRPr="0049427F" w:rsidRDefault="00006A70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Aquaculture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7</w:t>
            </w:r>
          </w:p>
        </w:tc>
        <w:tc>
          <w:tcPr>
            <w:tcW w:w="3686" w:type="dxa"/>
          </w:tcPr>
          <w:p w14:paraId="10E84C2A" w14:textId="6A05F28D" w:rsidR="007D6848" w:rsidRPr="0049427F" w:rsidRDefault="00D83709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  <w:tr w:rsidR="000B2DD7" w:rsidRPr="00FC0F85" w14:paraId="6F015FC4" w14:textId="77777777" w:rsidTr="00134D63">
        <w:trPr>
          <w:trHeight w:val="324"/>
        </w:trPr>
        <w:tc>
          <w:tcPr>
            <w:tcW w:w="5954" w:type="dxa"/>
            <w:shd w:val="clear" w:color="auto" w:fill="00B050"/>
          </w:tcPr>
          <w:p w14:paraId="40155D32" w14:textId="40B094F4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Technology SCQF Level 6 </w:t>
            </w:r>
          </w:p>
        </w:tc>
        <w:tc>
          <w:tcPr>
            <w:tcW w:w="3686" w:type="dxa"/>
            <w:shd w:val="clear" w:color="auto" w:fill="00B050"/>
          </w:tcPr>
          <w:p w14:paraId="0EA51ACA" w14:textId="0562552B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  <w:r w:rsidR="00134D63">
              <w:rPr>
                <w:rFonts w:ascii="Arial" w:hAnsi="Arial" w:cs="Arial"/>
                <w:sz w:val="20"/>
                <w:szCs w:val="20"/>
              </w:rPr>
              <w:t xml:space="preserve"> – Fully approved 03/08/2023</w:t>
            </w:r>
          </w:p>
        </w:tc>
      </w:tr>
      <w:tr w:rsidR="000B2DD7" w:rsidRPr="00FC0F85" w14:paraId="552764EE" w14:textId="77777777" w:rsidTr="00134D63">
        <w:trPr>
          <w:trHeight w:val="324"/>
        </w:trPr>
        <w:tc>
          <w:tcPr>
            <w:tcW w:w="5954" w:type="dxa"/>
            <w:shd w:val="clear" w:color="auto" w:fill="00B050"/>
          </w:tcPr>
          <w:p w14:paraId="17EB93A2" w14:textId="77A07A0A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Technology SCQF Level 8 (Additional three pathways)</w:t>
            </w:r>
          </w:p>
        </w:tc>
        <w:tc>
          <w:tcPr>
            <w:tcW w:w="3686" w:type="dxa"/>
            <w:shd w:val="clear" w:color="auto" w:fill="00B050"/>
          </w:tcPr>
          <w:p w14:paraId="438B617A" w14:textId="7CF34A5B" w:rsidR="000B2DD7" w:rsidRDefault="00134D63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 – Fully approved 03/08/2023</w:t>
            </w:r>
          </w:p>
        </w:tc>
      </w:tr>
      <w:tr w:rsidR="00E54949" w:rsidRPr="00FC0F85" w14:paraId="59B490B9" w14:textId="77777777" w:rsidTr="00134D63">
        <w:trPr>
          <w:trHeight w:val="324"/>
        </w:trPr>
        <w:tc>
          <w:tcPr>
            <w:tcW w:w="5954" w:type="dxa"/>
          </w:tcPr>
          <w:p w14:paraId="2F93E975" w14:textId="44774A3C" w:rsidR="00E54949" w:rsidRDefault="00E54949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Engineering </w:t>
            </w:r>
            <w:r w:rsidR="006D2A76">
              <w:rPr>
                <w:rFonts w:ascii="Arial" w:hAnsi="Arial" w:cs="Arial"/>
                <w:sz w:val="20"/>
                <w:szCs w:val="20"/>
              </w:rPr>
              <w:t xml:space="preserve">SCQF Level 7 </w:t>
            </w:r>
          </w:p>
        </w:tc>
        <w:tc>
          <w:tcPr>
            <w:tcW w:w="3686" w:type="dxa"/>
          </w:tcPr>
          <w:p w14:paraId="586FF270" w14:textId="3E88AC94" w:rsidR="00E54949" w:rsidRDefault="006D2A76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06/04/2023</w:t>
            </w:r>
          </w:p>
        </w:tc>
      </w:tr>
    </w:tbl>
    <w:p w14:paraId="75E31B92" w14:textId="6144A4CB" w:rsidR="00527FC9" w:rsidRDefault="00527FC9" w:rsidP="00235A8C">
      <w:pPr>
        <w:rPr>
          <w:sz w:val="22"/>
          <w:szCs w:val="22"/>
        </w:rPr>
      </w:pPr>
    </w:p>
    <w:p w14:paraId="4D6A328F" w14:textId="1EC5D38B" w:rsidR="00DE5A9C" w:rsidRPr="00FC0F85" w:rsidRDefault="00DE5A9C" w:rsidP="00235A8C">
      <w:pPr>
        <w:rPr>
          <w:sz w:val="22"/>
          <w:szCs w:val="22"/>
        </w:rPr>
      </w:pPr>
    </w:p>
    <w:sectPr w:rsidR="00DE5A9C" w:rsidRPr="00FC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9B9"/>
    <w:multiLevelType w:val="hybridMultilevel"/>
    <w:tmpl w:val="2B6AE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F60"/>
    <w:multiLevelType w:val="hybridMultilevel"/>
    <w:tmpl w:val="D16465F2"/>
    <w:lvl w:ilvl="0" w:tplc="B2ECBD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5CA"/>
    <w:multiLevelType w:val="hybridMultilevel"/>
    <w:tmpl w:val="3FDC3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655F"/>
    <w:multiLevelType w:val="hybridMultilevel"/>
    <w:tmpl w:val="54966E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65B30"/>
    <w:multiLevelType w:val="multilevel"/>
    <w:tmpl w:val="1402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0009DA"/>
    <w:multiLevelType w:val="hybridMultilevel"/>
    <w:tmpl w:val="32FC5478"/>
    <w:lvl w:ilvl="0" w:tplc="B2ECBD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1B04"/>
    <w:multiLevelType w:val="hybridMultilevel"/>
    <w:tmpl w:val="53CC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26DA4"/>
    <w:multiLevelType w:val="hybridMultilevel"/>
    <w:tmpl w:val="839C6782"/>
    <w:lvl w:ilvl="0" w:tplc="D4D0CCE8">
      <w:start w:val="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3687A"/>
    <w:multiLevelType w:val="hybridMultilevel"/>
    <w:tmpl w:val="C29EB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B06DF"/>
    <w:multiLevelType w:val="hybridMultilevel"/>
    <w:tmpl w:val="A3EC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E63B7"/>
    <w:multiLevelType w:val="hybridMultilevel"/>
    <w:tmpl w:val="4D7C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B5776"/>
    <w:multiLevelType w:val="hybridMultilevel"/>
    <w:tmpl w:val="17A0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12BCA"/>
    <w:multiLevelType w:val="hybridMultilevel"/>
    <w:tmpl w:val="29864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D06E9"/>
    <w:multiLevelType w:val="hybridMultilevel"/>
    <w:tmpl w:val="4ED25F92"/>
    <w:lvl w:ilvl="0" w:tplc="B2ECBD5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6431D2"/>
    <w:multiLevelType w:val="hybridMultilevel"/>
    <w:tmpl w:val="AC10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A45ED"/>
    <w:multiLevelType w:val="hybridMultilevel"/>
    <w:tmpl w:val="D3166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C1F96"/>
    <w:multiLevelType w:val="hybridMultilevel"/>
    <w:tmpl w:val="E5C43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B0269"/>
    <w:multiLevelType w:val="hybridMultilevel"/>
    <w:tmpl w:val="07AA7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977C5C"/>
    <w:multiLevelType w:val="hybridMultilevel"/>
    <w:tmpl w:val="71B47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A10660"/>
    <w:multiLevelType w:val="hybridMultilevel"/>
    <w:tmpl w:val="1606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DF8"/>
    <w:multiLevelType w:val="hybridMultilevel"/>
    <w:tmpl w:val="C944E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3796C"/>
    <w:multiLevelType w:val="hybridMultilevel"/>
    <w:tmpl w:val="64F22CAC"/>
    <w:lvl w:ilvl="0" w:tplc="77522A3A">
      <w:start w:val="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81236"/>
    <w:multiLevelType w:val="hybridMultilevel"/>
    <w:tmpl w:val="AD2C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983"/>
    <w:multiLevelType w:val="hybridMultilevel"/>
    <w:tmpl w:val="A7A85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987C66"/>
    <w:multiLevelType w:val="hybridMultilevel"/>
    <w:tmpl w:val="7FCC322E"/>
    <w:lvl w:ilvl="0" w:tplc="0C349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F0CAF"/>
    <w:multiLevelType w:val="hybridMultilevel"/>
    <w:tmpl w:val="B33A3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7197782">
    <w:abstractNumId w:val="4"/>
  </w:num>
  <w:num w:numId="2" w16cid:durableId="928781171">
    <w:abstractNumId w:val="11"/>
  </w:num>
  <w:num w:numId="3" w16cid:durableId="951474016">
    <w:abstractNumId w:val="19"/>
  </w:num>
  <w:num w:numId="4" w16cid:durableId="1784035947">
    <w:abstractNumId w:val="25"/>
  </w:num>
  <w:num w:numId="5" w16cid:durableId="210306072">
    <w:abstractNumId w:val="18"/>
  </w:num>
  <w:num w:numId="6" w16cid:durableId="173765948">
    <w:abstractNumId w:val="23"/>
  </w:num>
  <w:num w:numId="7" w16cid:durableId="392582199">
    <w:abstractNumId w:val="8"/>
  </w:num>
  <w:num w:numId="8" w16cid:durableId="1034766019">
    <w:abstractNumId w:val="20"/>
  </w:num>
  <w:num w:numId="9" w16cid:durableId="1669014302">
    <w:abstractNumId w:val="12"/>
  </w:num>
  <w:num w:numId="10" w16cid:durableId="2037610973">
    <w:abstractNumId w:val="0"/>
  </w:num>
  <w:num w:numId="11" w16cid:durableId="1109357012">
    <w:abstractNumId w:val="22"/>
  </w:num>
  <w:num w:numId="12" w16cid:durableId="213741949">
    <w:abstractNumId w:val="24"/>
  </w:num>
  <w:num w:numId="13" w16cid:durableId="1105423966">
    <w:abstractNumId w:val="3"/>
  </w:num>
  <w:num w:numId="14" w16cid:durableId="1245139898">
    <w:abstractNumId w:val="16"/>
  </w:num>
  <w:num w:numId="15" w16cid:durableId="834148522">
    <w:abstractNumId w:val="7"/>
  </w:num>
  <w:num w:numId="16" w16cid:durableId="1650862507">
    <w:abstractNumId w:val="21"/>
  </w:num>
  <w:num w:numId="17" w16cid:durableId="1966424887">
    <w:abstractNumId w:val="13"/>
  </w:num>
  <w:num w:numId="18" w16cid:durableId="543908486">
    <w:abstractNumId w:val="1"/>
  </w:num>
  <w:num w:numId="19" w16cid:durableId="565183892">
    <w:abstractNumId w:val="5"/>
  </w:num>
  <w:num w:numId="20" w16cid:durableId="939720737">
    <w:abstractNumId w:val="2"/>
  </w:num>
  <w:num w:numId="21" w16cid:durableId="1582713070">
    <w:abstractNumId w:val="6"/>
  </w:num>
  <w:num w:numId="22" w16cid:durableId="742871612">
    <w:abstractNumId w:val="17"/>
  </w:num>
  <w:num w:numId="23" w16cid:durableId="1084448791">
    <w:abstractNumId w:val="10"/>
  </w:num>
  <w:num w:numId="24" w16cid:durableId="1382364584">
    <w:abstractNumId w:val="14"/>
  </w:num>
  <w:num w:numId="25" w16cid:durableId="1461538398">
    <w:abstractNumId w:val="9"/>
  </w:num>
  <w:num w:numId="26" w16cid:durableId="20855623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D"/>
    <w:rsid w:val="00001BF8"/>
    <w:rsid w:val="0000294A"/>
    <w:rsid w:val="000068FC"/>
    <w:rsid w:val="00006A70"/>
    <w:rsid w:val="00006BE7"/>
    <w:rsid w:val="000079F0"/>
    <w:rsid w:val="00016C0C"/>
    <w:rsid w:val="000176E7"/>
    <w:rsid w:val="000203DA"/>
    <w:rsid w:val="000256F0"/>
    <w:rsid w:val="000276F3"/>
    <w:rsid w:val="00031577"/>
    <w:rsid w:val="0003321C"/>
    <w:rsid w:val="000343C9"/>
    <w:rsid w:val="00035365"/>
    <w:rsid w:val="000354D7"/>
    <w:rsid w:val="00047809"/>
    <w:rsid w:val="00050BB5"/>
    <w:rsid w:val="000516A1"/>
    <w:rsid w:val="00056811"/>
    <w:rsid w:val="00057F18"/>
    <w:rsid w:val="000600E9"/>
    <w:rsid w:val="00061C3C"/>
    <w:rsid w:val="00064EDD"/>
    <w:rsid w:val="000657F1"/>
    <w:rsid w:val="00066393"/>
    <w:rsid w:val="00066482"/>
    <w:rsid w:val="00073C19"/>
    <w:rsid w:val="00073C51"/>
    <w:rsid w:val="000755AB"/>
    <w:rsid w:val="00075A69"/>
    <w:rsid w:val="000760B9"/>
    <w:rsid w:val="0007698C"/>
    <w:rsid w:val="00082C03"/>
    <w:rsid w:val="00082ED3"/>
    <w:rsid w:val="00082ED7"/>
    <w:rsid w:val="00085AB2"/>
    <w:rsid w:val="00085B16"/>
    <w:rsid w:val="00086EA2"/>
    <w:rsid w:val="00090B3B"/>
    <w:rsid w:val="00093331"/>
    <w:rsid w:val="0009367C"/>
    <w:rsid w:val="000960E6"/>
    <w:rsid w:val="000974D4"/>
    <w:rsid w:val="000A1CD5"/>
    <w:rsid w:val="000A247D"/>
    <w:rsid w:val="000A7C9A"/>
    <w:rsid w:val="000B2DD7"/>
    <w:rsid w:val="000B37C9"/>
    <w:rsid w:val="000B3DEA"/>
    <w:rsid w:val="000C040E"/>
    <w:rsid w:val="000C142E"/>
    <w:rsid w:val="000C22A4"/>
    <w:rsid w:val="000C5B14"/>
    <w:rsid w:val="000C5D85"/>
    <w:rsid w:val="000C6593"/>
    <w:rsid w:val="000D28E6"/>
    <w:rsid w:val="000D3B9A"/>
    <w:rsid w:val="000D4A42"/>
    <w:rsid w:val="000E1DBA"/>
    <w:rsid w:val="000E691E"/>
    <w:rsid w:val="000E6D82"/>
    <w:rsid w:val="000E78E5"/>
    <w:rsid w:val="000F1AB4"/>
    <w:rsid w:val="000F56A6"/>
    <w:rsid w:val="000F599F"/>
    <w:rsid w:val="000F661A"/>
    <w:rsid w:val="000F7CA9"/>
    <w:rsid w:val="001001CC"/>
    <w:rsid w:val="00102EB1"/>
    <w:rsid w:val="001049A4"/>
    <w:rsid w:val="001049C9"/>
    <w:rsid w:val="0010585E"/>
    <w:rsid w:val="00106241"/>
    <w:rsid w:val="001103CA"/>
    <w:rsid w:val="001110D7"/>
    <w:rsid w:val="001112B2"/>
    <w:rsid w:val="001140D6"/>
    <w:rsid w:val="00115FA2"/>
    <w:rsid w:val="00117A2B"/>
    <w:rsid w:val="00120487"/>
    <w:rsid w:val="00122525"/>
    <w:rsid w:val="00123112"/>
    <w:rsid w:val="0012380F"/>
    <w:rsid w:val="00124A90"/>
    <w:rsid w:val="00125CA7"/>
    <w:rsid w:val="00134D63"/>
    <w:rsid w:val="00135220"/>
    <w:rsid w:val="00135DE8"/>
    <w:rsid w:val="00136F44"/>
    <w:rsid w:val="00143779"/>
    <w:rsid w:val="001438BD"/>
    <w:rsid w:val="00144CE1"/>
    <w:rsid w:val="001476F1"/>
    <w:rsid w:val="001505A9"/>
    <w:rsid w:val="00151DBA"/>
    <w:rsid w:val="00152727"/>
    <w:rsid w:val="0015300A"/>
    <w:rsid w:val="001546D5"/>
    <w:rsid w:val="00154DDE"/>
    <w:rsid w:val="001552F5"/>
    <w:rsid w:val="00161F96"/>
    <w:rsid w:val="00164053"/>
    <w:rsid w:val="00165848"/>
    <w:rsid w:val="001677A9"/>
    <w:rsid w:val="0017219F"/>
    <w:rsid w:val="0017404F"/>
    <w:rsid w:val="00175C59"/>
    <w:rsid w:val="001765A5"/>
    <w:rsid w:val="00177385"/>
    <w:rsid w:val="001811B3"/>
    <w:rsid w:val="00181CF3"/>
    <w:rsid w:val="00182FA8"/>
    <w:rsid w:val="00185B93"/>
    <w:rsid w:val="001861F0"/>
    <w:rsid w:val="00186C4E"/>
    <w:rsid w:val="00191FB5"/>
    <w:rsid w:val="00194409"/>
    <w:rsid w:val="00194F55"/>
    <w:rsid w:val="00196A35"/>
    <w:rsid w:val="00197E3B"/>
    <w:rsid w:val="00197E97"/>
    <w:rsid w:val="001A19C2"/>
    <w:rsid w:val="001A1BD0"/>
    <w:rsid w:val="001A2678"/>
    <w:rsid w:val="001A30A2"/>
    <w:rsid w:val="001B1E1A"/>
    <w:rsid w:val="001B263C"/>
    <w:rsid w:val="001B46C1"/>
    <w:rsid w:val="001B510E"/>
    <w:rsid w:val="001B5777"/>
    <w:rsid w:val="001B683D"/>
    <w:rsid w:val="001B7521"/>
    <w:rsid w:val="001C12DB"/>
    <w:rsid w:val="001D17F8"/>
    <w:rsid w:val="001D3388"/>
    <w:rsid w:val="001D552E"/>
    <w:rsid w:val="001D71B0"/>
    <w:rsid w:val="001E2869"/>
    <w:rsid w:val="001E3531"/>
    <w:rsid w:val="001E54EB"/>
    <w:rsid w:val="001E5D9C"/>
    <w:rsid w:val="001F1580"/>
    <w:rsid w:val="001F2FA2"/>
    <w:rsid w:val="001F3F4D"/>
    <w:rsid w:val="001F4E7C"/>
    <w:rsid w:val="00201203"/>
    <w:rsid w:val="0020151C"/>
    <w:rsid w:val="0020335C"/>
    <w:rsid w:val="00206273"/>
    <w:rsid w:val="00206A01"/>
    <w:rsid w:val="00207BCE"/>
    <w:rsid w:val="0021093B"/>
    <w:rsid w:val="00211FAD"/>
    <w:rsid w:val="00213880"/>
    <w:rsid w:val="00221485"/>
    <w:rsid w:val="00223C71"/>
    <w:rsid w:val="00223E29"/>
    <w:rsid w:val="00225B7F"/>
    <w:rsid w:val="0023037D"/>
    <w:rsid w:val="00230E77"/>
    <w:rsid w:val="00231650"/>
    <w:rsid w:val="00232C5E"/>
    <w:rsid w:val="00233EC3"/>
    <w:rsid w:val="00235585"/>
    <w:rsid w:val="00235947"/>
    <w:rsid w:val="00235A8C"/>
    <w:rsid w:val="00244752"/>
    <w:rsid w:val="0024580B"/>
    <w:rsid w:val="0024784F"/>
    <w:rsid w:val="00247B43"/>
    <w:rsid w:val="00247F0C"/>
    <w:rsid w:val="00250B21"/>
    <w:rsid w:val="0025712E"/>
    <w:rsid w:val="00261A89"/>
    <w:rsid w:val="002646E2"/>
    <w:rsid w:val="0026488F"/>
    <w:rsid w:val="002666EB"/>
    <w:rsid w:val="00272923"/>
    <w:rsid w:val="0027480C"/>
    <w:rsid w:val="0027525D"/>
    <w:rsid w:val="00276166"/>
    <w:rsid w:val="00276F2C"/>
    <w:rsid w:val="0028274A"/>
    <w:rsid w:val="00282EDA"/>
    <w:rsid w:val="0028415B"/>
    <w:rsid w:val="0028695C"/>
    <w:rsid w:val="00287605"/>
    <w:rsid w:val="00290F18"/>
    <w:rsid w:val="00290FFD"/>
    <w:rsid w:val="0029143B"/>
    <w:rsid w:val="00291483"/>
    <w:rsid w:val="002954A6"/>
    <w:rsid w:val="00295D5F"/>
    <w:rsid w:val="00296D3D"/>
    <w:rsid w:val="0029775A"/>
    <w:rsid w:val="002A0964"/>
    <w:rsid w:val="002A4E59"/>
    <w:rsid w:val="002A6838"/>
    <w:rsid w:val="002B3F50"/>
    <w:rsid w:val="002B5975"/>
    <w:rsid w:val="002B597E"/>
    <w:rsid w:val="002B6451"/>
    <w:rsid w:val="002B6B5E"/>
    <w:rsid w:val="002C0033"/>
    <w:rsid w:val="002C21CE"/>
    <w:rsid w:val="002C536E"/>
    <w:rsid w:val="002C590C"/>
    <w:rsid w:val="002C728D"/>
    <w:rsid w:val="002D55A0"/>
    <w:rsid w:val="002E5848"/>
    <w:rsid w:val="002F47A7"/>
    <w:rsid w:val="002F6CC2"/>
    <w:rsid w:val="002F7224"/>
    <w:rsid w:val="003022E5"/>
    <w:rsid w:val="003041CB"/>
    <w:rsid w:val="0030714E"/>
    <w:rsid w:val="0030793A"/>
    <w:rsid w:val="0032001D"/>
    <w:rsid w:val="00320B49"/>
    <w:rsid w:val="00321A42"/>
    <w:rsid w:val="00330BEB"/>
    <w:rsid w:val="00333E87"/>
    <w:rsid w:val="00335D21"/>
    <w:rsid w:val="00342360"/>
    <w:rsid w:val="003454F4"/>
    <w:rsid w:val="00350EA0"/>
    <w:rsid w:val="00351591"/>
    <w:rsid w:val="00352F20"/>
    <w:rsid w:val="00355B50"/>
    <w:rsid w:val="0035639B"/>
    <w:rsid w:val="00356D97"/>
    <w:rsid w:val="00357059"/>
    <w:rsid w:val="00357980"/>
    <w:rsid w:val="00365CAE"/>
    <w:rsid w:val="00370F0B"/>
    <w:rsid w:val="003712CA"/>
    <w:rsid w:val="00371DC8"/>
    <w:rsid w:val="00372157"/>
    <w:rsid w:val="00372F40"/>
    <w:rsid w:val="0037396B"/>
    <w:rsid w:val="003758B1"/>
    <w:rsid w:val="00380650"/>
    <w:rsid w:val="00384CC8"/>
    <w:rsid w:val="003851D3"/>
    <w:rsid w:val="00385770"/>
    <w:rsid w:val="00387F22"/>
    <w:rsid w:val="00390391"/>
    <w:rsid w:val="0039150E"/>
    <w:rsid w:val="00395CD7"/>
    <w:rsid w:val="0039714B"/>
    <w:rsid w:val="00397B0F"/>
    <w:rsid w:val="003A08B1"/>
    <w:rsid w:val="003A09C5"/>
    <w:rsid w:val="003A0C98"/>
    <w:rsid w:val="003A4049"/>
    <w:rsid w:val="003A409D"/>
    <w:rsid w:val="003A462A"/>
    <w:rsid w:val="003A4C52"/>
    <w:rsid w:val="003A66CB"/>
    <w:rsid w:val="003A7337"/>
    <w:rsid w:val="003B133B"/>
    <w:rsid w:val="003B7919"/>
    <w:rsid w:val="003C008A"/>
    <w:rsid w:val="003C1EAE"/>
    <w:rsid w:val="003C6DE9"/>
    <w:rsid w:val="003D0DAE"/>
    <w:rsid w:val="003D0F0D"/>
    <w:rsid w:val="003D566B"/>
    <w:rsid w:val="003E012B"/>
    <w:rsid w:val="003E0DB8"/>
    <w:rsid w:val="003E0E59"/>
    <w:rsid w:val="003E12ED"/>
    <w:rsid w:val="003E3A98"/>
    <w:rsid w:val="003E5280"/>
    <w:rsid w:val="003E7CAA"/>
    <w:rsid w:val="003F0792"/>
    <w:rsid w:val="003F2D5C"/>
    <w:rsid w:val="003F3B7B"/>
    <w:rsid w:val="003F40B2"/>
    <w:rsid w:val="003F7038"/>
    <w:rsid w:val="00400D05"/>
    <w:rsid w:val="00401002"/>
    <w:rsid w:val="00402161"/>
    <w:rsid w:val="00403439"/>
    <w:rsid w:val="00403C36"/>
    <w:rsid w:val="00405098"/>
    <w:rsid w:val="00405BBE"/>
    <w:rsid w:val="00406E4E"/>
    <w:rsid w:val="00407235"/>
    <w:rsid w:val="00407431"/>
    <w:rsid w:val="004077A8"/>
    <w:rsid w:val="00410663"/>
    <w:rsid w:val="00411BBC"/>
    <w:rsid w:val="004120B4"/>
    <w:rsid w:val="00415CC9"/>
    <w:rsid w:val="00421506"/>
    <w:rsid w:val="004222D8"/>
    <w:rsid w:val="00423C38"/>
    <w:rsid w:val="004245F4"/>
    <w:rsid w:val="00426DF7"/>
    <w:rsid w:val="004304E3"/>
    <w:rsid w:val="004327BF"/>
    <w:rsid w:val="0043375F"/>
    <w:rsid w:val="00433A32"/>
    <w:rsid w:val="004343A9"/>
    <w:rsid w:val="00436186"/>
    <w:rsid w:val="00436605"/>
    <w:rsid w:val="0043762D"/>
    <w:rsid w:val="00445C7E"/>
    <w:rsid w:val="00450D17"/>
    <w:rsid w:val="004510F6"/>
    <w:rsid w:val="00451960"/>
    <w:rsid w:val="00451D73"/>
    <w:rsid w:val="00457AE3"/>
    <w:rsid w:val="00460A07"/>
    <w:rsid w:val="004622D9"/>
    <w:rsid w:val="0046359A"/>
    <w:rsid w:val="00463FA6"/>
    <w:rsid w:val="00465586"/>
    <w:rsid w:val="00465E71"/>
    <w:rsid w:val="00470609"/>
    <w:rsid w:val="00470732"/>
    <w:rsid w:val="0047105F"/>
    <w:rsid w:val="00473606"/>
    <w:rsid w:val="00473717"/>
    <w:rsid w:val="00473CFF"/>
    <w:rsid w:val="00473E32"/>
    <w:rsid w:val="00480F37"/>
    <w:rsid w:val="00481B9D"/>
    <w:rsid w:val="00483971"/>
    <w:rsid w:val="00484398"/>
    <w:rsid w:val="004853F7"/>
    <w:rsid w:val="00485409"/>
    <w:rsid w:val="00485445"/>
    <w:rsid w:val="00485EE7"/>
    <w:rsid w:val="004862B3"/>
    <w:rsid w:val="00486424"/>
    <w:rsid w:val="004866D2"/>
    <w:rsid w:val="00492131"/>
    <w:rsid w:val="0049427F"/>
    <w:rsid w:val="0049672F"/>
    <w:rsid w:val="004A09C5"/>
    <w:rsid w:val="004A0B98"/>
    <w:rsid w:val="004A1174"/>
    <w:rsid w:val="004A44FD"/>
    <w:rsid w:val="004A4B97"/>
    <w:rsid w:val="004A5D4E"/>
    <w:rsid w:val="004A7722"/>
    <w:rsid w:val="004A7F5F"/>
    <w:rsid w:val="004B0B7D"/>
    <w:rsid w:val="004B3E11"/>
    <w:rsid w:val="004B5F21"/>
    <w:rsid w:val="004B739B"/>
    <w:rsid w:val="004C3354"/>
    <w:rsid w:val="004C60A8"/>
    <w:rsid w:val="004C6DE9"/>
    <w:rsid w:val="004D0FA5"/>
    <w:rsid w:val="004D221F"/>
    <w:rsid w:val="004D49FB"/>
    <w:rsid w:val="004D64EF"/>
    <w:rsid w:val="004D76EA"/>
    <w:rsid w:val="004E60AB"/>
    <w:rsid w:val="004E69A1"/>
    <w:rsid w:val="004F0A5D"/>
    <w:rsid w:val="004F138D"/>
    <w:rsid w:val="004F174C"/>
    <w:rsid w:val="004F38FC"/>
    <w:rsid w:val="004F5735"/>
    <w:rsid w:val="004F68F6"/>
    <w:rsid w:val="004F6B40"/>
    <w:rsid w:val="0050164F"/>
    <w:rsid w:val="0050203A"/>
    <w:rsid w:val="00504B67"/>
    <w:rsid w:val="0050546D"/>
    <w:rsid w:val="00505EB4"/>
    <w:rsid w:val="00506CE2"/>
    <w:rsid w:val="0051064D"/>
    <w:rsid w:val="005144AB"/>
    <w:rsid w:val="005146A4"/>
    <w:rsid w:val="005158F8"/>
    <w:rsid w:val="00520545"/>
    <w:rsid w:val="00523005"/>
    <w:rsid w:val="00523F4B"/>
    <w:rsid w:val="00524024"/>
    <w:rsid w:val="005242B4"/>
    <w:rsid w:val="00524C6C"/>
    <w:rsid w:val="00525ABF"/>
    <w:rsid w:val="00526AFB"/>
    <w:rsid w:val="00527FC9"/>
    <w:rsid w:val="00530F26"/>
    <w:rsid w:val="00531E27"/>
    <w:rsid w:val="00532F0B"/>
    <w:rsid w:val="00533FC0"/>
    <w:rsid w:val="00535EAF"/>
    <w:rsid w:val="00541453"/>
    <w:rsid w:val="00546F0E"/>
    <w:rsid w:val="0055175C"/>
    <w:rsid w:val="00554328"/>
    <w:rsid w:val="00556318"/>
    <w:rsid w:val="0056069C"/>
    <w:rsid w:val="00561BA9"/>
    <w:rsid w:val="005676C8"/>
    <w:rsid w:val="005708F8"/>
    <w:rsid w:val="00570960"/>
    <w:rsid w:val="00571784"/>
    <w:rsid w:val="00572D6F"/>
    <w:rsid w:val="005773F2"/>
    <w:rsid w:val="005809E1"/>
    <w:rsid w:val="00580D08"/>
    <w:rsid w:val="00581D6F"/>
    <w:rsid w:val="005823FB"/>
    <w:rsid w:val="00582430"/>
    <w:rsid w:val="005828D1"/>
    <w:rsid w:val="005840C3"/>
    <w:rsid w:val="00584712"/>
    <w:rsid w:val="0058638F"/>
    <w:rsid w:val="00586767"/>
    <w:rsid w:val="0059006F"/>
    <w:rsid w:val="00591EA9"/>
    <w:rsid w:val="00592183"/>
    <w:rsid w:val="0059393C"/>
    <w:rsid w:val="0059453C"/>
    <w:rsid w:val="00595F70"/>
    <w:rsid w:val="0059606F"/>
    <w:rsid w:val="005969C3"/>
    <w:rsid w:val="005A0BA6"/>
    <w:rsid w:val="005A2B5B"/>
    <w:rsid w:val="005A3125"/>
    <w:rsid w:val="005A32CF"/>
    <w:rsid w:val="005B1CA5"/>
    <w:rsid w:val="005B28B8"/>
    <w:rsid w:val="005B3987"/>
    <w:rsid w:val="005B4199"/>
    <w:rsid w:val="005B465A"/>
    <w:rsid w:val="005B6F04"/>
    <w:rsid w:val="005B7823"/>
    <w:rsid w:val="005C0A94"/>
    <w:rsid w:val="005C0EC8"/>
    <w:rsid w:val="005C3325"/>
    <w:rsid w:val="005C44D7"/>
    <w:rsid w:val="005C7B22"/>
    <w:rsid w:val="005D047F"/>
    <w:rsid w:val="005D3683"/>
    <w:rsid w:val="005D4A32"/>
    <w:rsid w:val="005D52DC"/>
    <w:rsid w:val="005D6A16"/>
    <w:rsid w:val="005D6E03"/>
    <w:rsid w:val="005D770C"/>
    <w:rsid w:val="005D7E59"/>
    <w:rsid w:val="005E5C17"/>
    <w:rsid w:val="005F0205"/>
    <w:rsid w:val="005F13D1"/>
    <w:rsid w:val="005F54ED"/>
    <w:rsid w:val="005F5CA8"/>
    <w:rsid w:val="005F60D0"/>
    <w:rsid w:val="005F6BA6"/>
    <w:rsid w:val="005F705F"/>
    <w:rsid w:val="006053AB"/>
    <w:rsid w:val="006058DF"/>
    <w:rsid w:val="00606772"/>
    <w:rsid w:val="00606F3F"/>
    <w:rsid w:val="0060760A"/>
    <w:rsid w:val="00610003"/>
    <w:rsid w:val="0061083D"/>
    <w:rsid w:val="006110BF"/>
    <w:rsid w:val="0061311E"/>
    <w:rsid w:val="006155D7"/>
    <w:rsid w:val="00617333"/>
    <w:rsid w:val="00617360"/>
    <w:rsid w:val="00617555"/>
    <w:rsid w:val="006177B7"/>
    <w:rsid w:val="00624D66"/>
    <w:rsid w:val="006252E8"/>
    <w:rsid w:val="006256C4"/>
    <w:rsid w:val="00626FB0"/>
    <w:rsid w:val="0063083B"/>
    <w:rsid w:val="00630B28"/>
    <w:rsid w:val="00635B39"/>
    <w:rsid w:val="00640D9E"/>
    <w:rsid w:val="00641649"/>
    <w:rsid w:val="006446BD"/>
    <w:rsid w:val="0064481D"/>
    <w:rsid w:val="006468CA"/>
    <w:rsid w:val="00650058"/>
    <w:rsid w:val="0065027E"/>
    <w:rsid w:val="006502C0"/>
    <w:rsid w:val="00650B16"/>
    <w:rsid w:val="006522B2"/>
    <w:rsid w:val="00655DDD"/>
    <w:rsid w:val="0065659E"/>
    <w:rsid w:val="00657954"/>
    <w:rsid w:val="00662D51"/>
    <w:rsid w:val="006630C2"/>
    <w:rsid w:val="00665C8A"/>
    <w:rsid w:val="0066616E"/>
    <w:rsid w:val="00667749"/>
    <w:rsid w:val="006716C9"/>
    <w:rsid w:val="00680252"/>
    <w:rsid w:val="006808A5"/>
    <w:rsid w:val="006831AB"/>
    <w:rsid w:val="0068706B"/>
    <w:rsid w:val="00691076"/>
    <w:rsid w:val="0069416E"/>
    <w:rsid w:val="00694612"/>
    <w:rsid w:val="0069581A"/>
    <w:rsid w:val="00695C5E"/>
    <w:rsid w:val="006964C7"/>
    <w:rsid w:val="006A2409"/>
    <w:rsid w:val="006A6858"/>
    <w:rsid w:val="006B04BD"/>
    <w:rsid w:val="006B47EE"/>
    <w:rsid w:val="006B6CA0"/>
    <w:rsid w:val="006B7311"/>
    <w:rsid w:val="006C0AD4"/>
    <w:rsid w:val="006C38DF"/>
    <w:rsid w:val="006C705F"/>
    <w:rsid w:val="006D052E"/>
    <w:rsid w:val="006D2754"/>
    <w:rsid w:val="006D2A76"/>
    <w:rsid w:val="006D4721"/>
    <w:rsid w:val="006D6DED"/>
    <w:rsid w:val="006E149F"/>
    <w:rsid w:val="006E21AB"/>
    <w:rsid w:val="006E2D8E"/>
    <w:rsid w:val="006E3A67"/>
    <w:rsid w:val="006E7408"/>
    <w:rsid w:val="006F0211"/>
    <w:rsid w:val="006F0DAB"/>
    <w:rsid w:val="006F1BC6"/>
    <w:rsid w:val="006F20A7"/>
    <w:rsid w:val="006F324C"/>
    <w:rsid w:val="006F43E1"/>
    <w:rsid w:val="006F4F17"/>
    <w:rsid w:val="006F66F3"/>
    <w:rsid w:val="006F6ABF"/>
    <w:rsid w:val="006F735C"/>
    <w:rsid w:val="0070022A"/>
    <w:rsid w:val="00703EC4"/>
    <w:rsid w:val="007048D3"/>
    <w:rsid w:val="00705C8C"/>
    <w:rsid w:val="0070717F"/>
    <w:rsid w:val="007078D5"/>
    <w:rsid w:val="00707E84"/>
    <w:rsid w:val="00713AEC"/>
    <w:rsid w:val="00715496"/>
    <w:rsid w:val="00715650"/>
    <w:rsid w:val="0072349F"/>
    <w:rsid w:val="007238B0"/>
    <w:rsid w:val="007244F7"/>
    <w:rsid w:val="00724E4A"/>
    <w:rsid w:val="00726FB4"/>
    <w:rsid w:val="00727FF9"/>
    <w:rsid w:val="00730C9A"/>
    <w:rsid w:val="00731144"/>
    <w:rsid w:val="00731B8C"/>
    <w:rsid w:val="00732C4E"/>
    <w:rsid w:val="007330A8"/>
    <w:rsid w:val="007350D7"/>
    <w:rsid w:val="0073564E"/>
    <w:rsid w:val="00736785"/>
    <w:rsid w:val="00740C1A"/>
    <w:rsid w:val="007412CD"/>
    <w:rsid w:val="00742276"/>
    <w:rsid w:val="00742866"/>
    <w:rsid w:val="00742FBC"/>
    <w:rsid w:val="00743731"/>
    <w:rsid w:val="0074392F"/>
    <w:rsid w:val="00743D68"/>
    <w:rsid w:val="00743FE0"/>
    <w:rsid w:val="00744968"/>
    <w:rsid w:val="00744A5B"/>
    <w:rsid w:val="007452C6"/>
    <w:rsid w:val="00746D55"/>
    <w:rsid w:val="0074789B"/>
    <w:rsid w:val="0075174F"/>
    <w:rsid w:val="00751BA2"/>
    <w:rsid w:val="00752917"/>
    <w:rsid w:val="007530FB"/>
    <w:rsid w:val="007557FF"/>
    <w:rsid w:val="007570F2"/>
    <w:rsid w:val="00757951"/>
    <w:rsid w:val="00760796"/>
    <w:rsid w:val="00760B1C"/>
    <w:rsid w:val="00765C0B"/>
    <w:rsid w:val="00766E7B"/>
    <w:rsid w:val="00772017"/>
    <w:rsid w:val="007760F7"/>
    <w:rsid w:val="00776E03"/>
    <w:rsid w:val="007855A8"/>
    <w:rsid w:val="007870A5"/>
    <w:rsid w:val="00791453"/>
    <w:rsid w:val="00793369"/>
    <w:rsid w:val="00793D5B"/>
    <w:rsid w:val="0079400B"/>
    <w:rsid w:val="00794645"/>
    <w:rsid w:val="007953BE"/>
    <w:rsid w:val="0079573A"/>
    <w:rsid w:val="00795902"/>
    <w:rsid w:val="00795AD8"/>
    <w:rsid w:val="00795E6A"/>
    <w:rsid w:val="007A0920"/>
    <w:rsid w:val="007A17DF"/>
    <w:rsid w:val="007A1F81"/>
    <w:rsid w:val="007A2DF9"/>
    <w:rsid w:val="007A451C"/>
    <w:rsid w:val="007A64F4"/>
    <w:rsid w:val="007A697D"/>
    <w:rsid w:val="007A6D36"/>
    <w:rsid w:val="007B1C48"/>
    <w:rsid w:val="007B4081"/>
    <w:rsid w:val="007B5449"/>
    <w:rsid w:val="007B5FE9"/>
    <w:rsid w:val="007B6E72"/>
    <w:rsid w:val="007C187F"/>
    <w:rsid w:val="007C2E18"/>
    <w:rsid w:val="007C2EE9"/>
    <w:rsid w:val="007C3361"/>
    <w:rsid w:val="007C511B"/>
    <w:rsid w:val="007C6AFC"/>
    <w:rsid w:val="007D0C71"/>
    <w:rsid w:val="007D0E17"/>
    <w:rsid w:val="007D0F6C"/>
    <w:rsid w:val="007D23E5"/>
    <w:rsid w:val="007D26A7"/>
    <w:rsid w:val="007D5270"/>
    <w:rsid w:val="007D6848"/>
    <w:rsid w:val="007E2049"/>
    <w:rsid w:val="007E34A2"/>
    <w:rsid w:val="007E60BA"/>
    <w:rsid w:val="007F481D"/>
    <w:rsid w:val="007F4B8E"/>
    <w:rsid w:val="007F68DB"/>
    <w:rsid w:val="007F7646"/>
    <w:rsid w:val="00800BEF"/>
    <w:rsid w:val="00802628"/>
    <w:rsid w:val="00802A0A"/>
    <w:rsid w:val="0080515D"/>
    <w:rsid w:val="00805307"/>
    <w:rsid w:val="008061E3"/>
    <w:rsid w:val="008075AF"/>
    <w:rsid w:val="00813D58"/>
    <w:rsid w:val="00814475"/>
    <w:rsid w:val="00815E5D"/>
    <w:rsid w:val="00815FA1"/>
    <w:rsid w:val="008200FA"/>
    <w:rsid w:val="008236AA"/>
    <w:rsid w:val="0082424C"/>
    <w:rsid w:val="008251B8"/>
    <w:rsid w:val="00825388"/>
    <w:rsid w:val="0082600D"/>
    <w:rsid w:val="008266C7"/>
    <w:rsid w:val="00827503"/>
    <w:rsid w:val="00830C98"/>
    <w:rsid w:val="00833345"/>
    <w:rsid w:val="00834AE5"/>
    <w:rsid w:val="00837067"/>
    <w:rsid w:val="00841ABE"/>
    <w:rsid w:val="008443F8"/>
    <w:rsid w:val="00844947"/>
    <w:rsid w:val="008464E7"/>
    <w:rsid w:val="00846A1B"/>
    <w:rsid w:val="008511A5"/>
    <w:rsid w:val="00855AF6"/>
    <w:rsid w:val="00855EBD"/>
    <w:rsid w:val="008578C4"/>
    <w:rsid w:val="008616B8"/>
    <w:rsid w:val="008645FB"/>
    <w:rsid w:val="0086460C"/>
    <w:rsid w:val="0086484A"/>
    <w:rsid w:val="00864C08"/>
    <w:rsid w:val="008662A8"/>
    <w:rsid w:val="0087017D"/>
    <w:rsid w:val="0087078F"/>
    <w:rsid w:val="008731D6"/>
    <w:rsid w:val="0087354A"/>
    <w:rsid w:val="00876AC5"/>
    <w:rsid w:val="00881466"/>
    <w:rsid w:val="00881C02"/>
    <w:rsid w:val="0088249B"/>
    <w:rsid w:val="00886B80"/>
    <w:rsid w:val="00887B5B"/>
    <w:rsid w:val="0089128B"/>
    <w:rsid w:val="00891C2F"/>
    <w:rsid w:val="00896B09"/>
    <w:rsid w:val="00897A50"/>
    <w:rsid w:val="00897CC6"/>
    <w:rsid w:val="00897DC1"/>
    <w:rsid w:val="008A0C19"/>
    <w:rsid w:val="008A1B91"/>
    <w:rsid w:val="008A1C59"/>
    <w:rsid w:val="008A4D86"/>
    <w:rsid w:val="008A64F0"/>
    <w:rsid w:val="008B0B86"/>
    <w:rsid w:val="008B1626"/>
    <w:rsid w:val="008B3FDA"/>
    <w:rsid w:val="008B4210"/>
    <w:rsid w:val="008B4BE1"/>
    <w:rsid w:val="008C2D46"/>
    <w:rsid w:val="008C4845"/>
    <w:rsid w:val="008C5726"/>
    <w:rsid w:val="008D0218"/>
    <w:rsid w:val="008D0D03"/>
    <w:rsid w:val="008D183A"/>
    <w:rsid w:val="008D246F"/>
    <w:rsid w:val="008D7AF9"/>
    <w:rsid w:val="008E2C50"/>
    <w:rsid w:val="008F1248"/>
    <w:rsid w:val="008F416A"/>
    <w:rsid w:val="009036CD"/>
    <w:rsid w:val="00904E4A"/>
    <w:rsid w:val="00905759"/>
    <w:rsid w:val="00906A25"/>
    <w:rsid w:val="00915408"/>
    <w:rsid w:val="00921AEE"/>
    <w:rsid w:val="00922A2A"/>
    <w:rsid w:val="0092364D"/>
    <w:rsid w:val="00923D88"/>
    <w:rsid w:val="0092524E"/>
    <w:rsid w:val="0092593E"/>
    <w:rsid w:val="009310B9"/>
    <w:rsid w:val="0093260C"/>
    <w:rsid w:val="00932FA7"/>
    <w:rsid w:val="009340CA"/>
    <w:rsid w:val="0093416C"/>
    <w:rsid w:val="00936A51"/>
    <w:rsid w:val="00941FA6"/>
    <w:rsid w:val="00943360"/>
    <w:rsid w:val="00943F8D"/>
    <w:rsid w:val="0094481C"/>
    <w:rsid w:val="00944FD8"/>
    <w:rsid w:val="0094626D"/>
    <w:rsid w:val="009479CE"/>
    <w:rsid w:val="00947AF8"/>
    <w:rsid w:val="00947B07"/>
    <w:rsid w:val="00950194"/>
    <w:rsid w:val="00950A3F"/>
    <w:rsid w:val="009514A8"/>
    <w:rsid w:val="00954A7E"/>
    <w:rsid w:val="00957DA5"/>
    <w:rsid w:val="00960918"/>
    <w:rsid w:val="00961E2F"/>
    <w:rsid w:val="009667CE"/>
    <w:rsid w:val="009705D5"/>
    <w:rsid w:val="00970C13"/>
    <w:rsid w:val="00970D1C"/>
    <w:rsid w:val="00971021"/>
    <w:rsid w:val="00971B87"/>
    <w:rsid w:val="0097342A"/>
    <w:rsid w:val="00973E2B"/>
    <w:rsid w:val="0097590C"/>
    <w:rsid w:val="00976514"/>
    <w:rsid w:val="00976854"/>
    <w:rsid w:val="009770FF"/>
    <w:rsid w:val="00977166"/>
    <w:rsid w:val="00981241"/>
    <w:rsid w:val="00984541"/>
    <w:rsid w:val="009924EE"/>
    <w:rsid w:val="009931EF"/>
    <w:rsid w:val="00993D5E"/>
    <w:rsid w:val="009941FD"/>
    <w:rsid w:val="009A059A"/>
    <w:rsid w:val="009A117A"/>
    <w:rsid w:val="009A1F4E"/>
    <w:rsid w:val="009A236A"/>
    <w:rsid w:val="009A4A51"/>
    <w:rsid w:val="009A553A"/>
    <w:rsid w:val="009A71BE"/>
    <w:rsid w:val="009C4100"/>
    <w:rsid w:val="009C6175"/>
    <w:rsid w:val="009C6B24"/>
    <w:rsid w:val="009C76F7"/>
    <w:rsid w:val="009D0046"/>
    <w:rsid w:val="009D1130"/>
    <w:rsid w:val="009D1345"/>
    <w:rsid w:val="009D31CA"/>
    <w:rsid w:val="009D46F5"/>
    <w:rsid w:val="009D484A"/>
    <w:rsid w:val="009D6218"/>
    <w:rsid w:val="009D62BD"/>
    <w:rsid w:val="009D707A"/>
    <w:rsid w:val="009E00AA"/>
    <w:rsid w:val="009E20DE"/>
    <w:rsid w:val="009E4BA3"/>
    <w:rsid w:val="009E5F7B"/>
    <w:rsid w:val="009F0C97"/>
    <w:rsid w:val="009F2BFE"/>
    <w:rsid w:val="009F77D3"/>
    <w:rsid w:val="009F7DA3"/>
    <w:rsid w:val="00A00749"/>
    <w:rsid w:val="00A03BFB"/>
    <w:rsid w:val="00A05DFF"/>
    <w:rsid w:val="00A12157"/>
    <w:rsid w:val="00A134F6"/>
    <w:rsid w:val="00A13ACA"/>
    <w:rsid w:val="00A14150"/>
    <w:rsid w:val="00A143D4"/>
    <w:rsid w:val="00A14C23"/>
    <w:rsid w:val="00A14D2D"/>
    <w:rsid w:val="00A1504A"/>
    <w:rsid w:val="00A16590"/>
    <w:rsid w:val="00A202BB"/>
    <w:rsid w:val="00A208AA"/>
    <w:rsid w:val="00A20E4B"/>
    <w:rsid w:val="00A22AD9"/>
    <w:rsid w:val="00A2737E"/>
    <w:rsid w:val="00A308D6"/>
    <w:rsid w:val="00A35113"/>
    <w:rsid w:val="00A41A16"/>
    <w:rsid w:val="00A435F1"/>
    <w:rsid w:val="00A45C16"/>
    <w:rsid w:val="00A45D65"/>
    <w:rsid w:val="00A52486"/>
    <w:rsid w:val="00A6294C"/>
    <w:rsid w:val="00A64B3F"/>
    <w:rsid w:val="00A662A8"/>
    <w:rsid w:val="00A70D10"/>
    <w:rsid w:val="00A7275D"/>
    <w:rsid w:val="00A72C10"/>
    <w:rsid w:val="00A73CC1"/>
    <w:rsid w:val="00A75464"/>
    <w:rsid w:val="00A80F74"/>
    <w:rsid w:val="00A8370D"/>
    <w:rsid w:val="00A83A87"/>
    <w:rsid w:val="00A87DAE"/>
    <w:rsid w:val="00A90A1A"/>
    <w:rsid w:val="00A91898"/>
    <w:rsid w:val="00A95C9D"/>
    <w:rsid w:val="00A964B6"/>
    <w:rsid w:val="00A97791"/>
    <w:rsid w:val="00AA02AD"/>
    <w:rsid w:val="00AA17B0"/>
    <w:rsid w:val="00AA27EE"/>
    <w:rsid w:val="00AA52FF"/>
    <w:rsid w:val="00AA680B"/>
    <w:rsid w:val="00AA7224"/>
    <w:rsid w:val="00AB4F33"/>
    <w:rsid w:val="00AC02B8"/>
    <w:rsid w:val="00AC0873"/>
    <w:rsid w:val="00AC4A32"/>
    <w:rsid w:val="00AD0AD4"/>
    <w:rsid w:val="00AD1798"/>
    <w:rsid w:val="00AD2942"/>
    <w:rsid w:val="00AD5725"/>
    <w:rsid w:val="00AE01C4"/>
    <w:rsid w:val="00AE3622"/>
    <w:rsid w:val="00AE57FF"/>
    <w:rsid w:val="00AE725C"/>
    <w:rsid w:val="00AF11FD"/>
    <w:rsid w:val="00AF27A6"/>
    <w:rsid w:val="00AF2A00"/>
    <w:rsid w:val="00AF30D2"/>
    <w:rsid w:val="00AF56A9"/>
    <w:rsid w:val="00AF6922"/>
    <w:rsid w:val="00AF790D"/>
    <w:rsid w:val="00B00AB3"/>
    <w:rsid w:val="00B01E0B"/>
    <w:rsid w:val="00B02391"/>
    <w:rsid w:val="00B03753"/>
    <w:rsid w:val="00B03F2E"/>
    <w:rsid w:val="00B07153"/>
    <w:rsid w:val="00B10CDA"/>
    <w:rsid w:val="00B1582B"/>
    <w:rsid w:val="00B2015E"/>
    <w:rsid w:val="00B2132B"/>
    <w:rsid w:val="00B2255C"/>
    <w:rsid w:val="00B23696"/>
    <w:rsid w:val="00B25148"/>
    <w:rsid w:val="00B33E8E"/>
    <w:rsid w:val="00B3451E"/>
    <w:rsid w:val="00B376D5"/>
    <w:rsid w:val="00B40B8A"/>
    <w:rsid w:val="00B42F17"/>
    <w:rsid w:val="00B4448C"/>
    <w:rsid w:val="00B47766"/>
    <w:rsid w:val="00B52455"/>
    <w:rsid w:val="00B52BF5"/>
    <w:rsid w:val="00B57B4B"/>
    <w:rsid w:val="00B57F8C"/>
    <w:rsid w:val="00B6122E"/>
    <w:rsid w:val="00B63B4F"/>
    <w:rsid w:val="00B72AC7"/>
    <w:rsid w:val="00B8009A"/>
    <w:rsid w:val="00B86591"/>
    <w:rsid w:val="00B86768"/>
    <w:rsid w:val="00B87250"/>
    <w:rsid w:val="00B872F8"/>
    <w:rsid w:val="00B877F2"/>
    <w:rsid w:val="00B90891"/>
    <w:rsid w:val="00B95731"/>
    <w:rsid w:val="00B96ACE"/>
    <w:rsid w:val="00B97943"/>
    <w:rsid w:val="00BA04BA"/>
    <w:rsid w:val="00BA09DA"/>
    <w:rsid w:val="00BA1EC6"/>
    <w:rsid w:val="00BA2E93"/>
    <w:rsid w:val="00BA492C"/>
    <w:rsid w:val="00BA7982"/>
    <w:rsid w:val="00BB0E03"/>
    <w:rsid w:val="00BB564C"/>
    <w:rsid w:val="00BC0981"/>
    <w:rsid w:val="00BC1806"/>
    <w:rsid w:val="00BC2562"/>
    <w:rsid w:val="00BC45F4"/>
    <w:rsid w:val="00BC7017"/>
    <w:rsid w:val="00BC71C1"/>
    <w:rsid w:val="00BC764A"/>
    <w:rsid w:val="00BD10F4"/>
    <w:rsid w:val="00BD15A1"/>
    <w:rsid w:val="00BD5A49"/>
    <w:rsid w:val="00BD66F2"/>
    <w:rsid w:val="00BE376D"/>
    <w:rsid w:val="00BE6ACB"/>
    <w:rsid w:val="00BE6EC9"/>
    <w:rsid w:val="00BE76F1"/>
    <w:rsid w:val="00BF01D5"/>
    <w:rsid w:val="00BF4168"/>
    <w:rsid w:val="00BF4FCE"/>
    <w:rsid w:val="00BF6B9C"/>
    <w:rsid w:val="00BF6F5A"/>
    <w:rsid w:val="00BF799D"/>
    <w:rsid w:val="00C0038F"/>
    <w:rsid w:val="00C034E8"/>
    <w:rsid w:val="00C0384A"/>
    <w:rsid w:val="00C04CC6"/>
    <w:rsid w:val="00C07C12"/>
    <w:rsid w:val="00C1028F"/>
    <w:rsid w:val="00C11780"/>
    <w:rsid w:val="00C11B13"/>
    <w:rsid w:val="00C13C8F"/>
    <w:rsid w:val="00C14C0F"/>
    <w:rsid w:val="00C17B9F"/>
    <w:rsid w:val="00C2168B"/>
    <w:rsid w:val="00C21BF7"/>
    <w:rsid w:val="00C248C8"/>
    <w:rsid w:val="00C2584F"/>
    <w:rsid w:val="00C262E9"/>
    <w:rsid w:val="00C30BAB"/>
    <w:rsid w:val="00C438A2"/>
    <w:rsid w:val="00C46281"/>
    <w:rsid w:val="00C468C8"/>
    <w:rsid w:val="00C51AC4"/>
    <w:rsid w:val="00C51CB1"/>
    <w:rsid w:val="00C524D0"/>
    <w:rsid w:val="00C53150"/>
    <w:rsid w:val="00C53E52"/>
    <w:rsid w:val="00C54319"/>
    <w:rsid w:val="00C570C3"/>
    <w:rsid w:val="00C61C7F"/>
    <w:rsid w:val="00C6304A"/>
    <w:rsid w:val="00C640EA"/>
    <w:rsid w:val="00C64358"/>
    <w:rsid w:val="00C6623E"/>
    <w:rsid w:val="00C662D3"/>
    <w:rsid w:val="00C67D28"/>
    <w:rsid w:val="00C70AB0"/>
    <w:rsid w:val="00C71799"/>
    <w:rsid w:val="00C73071"/>
    <w:rsid w:val="00C73CA6"/>
    <w:rsid w:val="00C7541B"/>
    <w:rsid w:val="00C7557B"/>
    <w:rsid w:val="00C75EEA"/>
    <w:rsid w:val="00C779AD"/>
    <w:rsid w:val="00C81E08"/>
    <w:rsid w:val="00C81E62"/>
    <w:rsid w:val="00C84A4B"/>
    <w:rsid w:val="00C84CB2"/>
    <w:rsid w:val="00C86D26"/>
    <w:rsid w:val="00C87488"/>
    <w:rsid w:val="00C90331"/>
    <w:rsid w:val="00C9053C"/>
    <w:rsid w:val="00C907F9"/>
    <w:rsid w:val="00C928A7"/>
    <w:rsid w:val="00C93BEC"/>
    <w:rsid w:val="00CA1FC9"/>
    <w:rsid w:val="00CA611E"/>
    <w:rsid w:val="00CB04F0"/>
    <w:rsid w:val="00CB0B57"/>
    <w:rsid w:val="00CB0FBD"/>
    <w:rsid w:val="00CB49E0"/>
    <w:rsid w:val="00CB7404"/>
    <w:rsid w:val="00CC12D6"/>
    <w:rsid w:val="00CC15CC"/>
    <w:rsid w:val="00CC229F"/>
    <w:rsid w:val="00CC25AF"/>
    <w:rsid w:val="00CC2DBD"/>
    <w:rsid w:val="00CC30E3"/>
    <w:rsid w:val="00CC31B2"/>
    <w:rsid w:val="00CC445E"/>
    <w:rsid w:val="00CC5362"/>
    <w:rsid w:val="00CC7DE7"/>
    <w:rsid w:val="00CD021A"/>
    <w:rsid w:val="00CD0356"/>
    <w:rsid w:val="00CD091D"/>
    <w:rsid w:val="00CD5BB9"/>
    <w:rsid w:val="00CD6355"/>
    <w:rsid w:val="00CD6CD5"/>
    <w:rsid w:val="00CE00FA"/>
    <w:rsid w:val="00CE10C6"/>
    <w:rsid w:val="00CE1266"/>
    <w:rsid w:val="00CE15F3"/>
    <w:rsid w:val="00CE1E68"/>
    <w:rsid w:val="00CE6734"/>
    <w:rsid w:val="00CF2143"/>
    <w:rsid w:val="00CF48CC"/>
    <w:rsid w:val="00CF526B"/>
    <w:rsid w:val="00CF5C85"/>
    <w:rsid w:val="00D026C5"/>
    <w:rsid w:val="00D02D10"/>
    <w:rsid w:val="00D05BD0"/>
    <w:rsid w:val="00D05DDF"/>
    <w:rsid w:val="00D065C6"/>
    <w:rsid w:val="00D072B5"/>
    <w:rsid w:val="00D074F0"/>
    <w:rsid w:val="00D11299"/>
    <w:rsid w:val="00D11A56"/>
    <w:rsid w:val="00D11D2C"/>
    <w:rsid w:val="00D1271D"/>
    <w:rsid w:val="00D17F45"/>
    <w:rsid w:val="00D20F6C"/>
    <w:rsid w:val="00D24703"/>
    <w:rsid w:val="00D257E4"/>
    <w:rsid w:val="00D272AC"/>
    <w:rsid w:val="00D321EA"/>
    <w:rsid w:val="00D3239A"/>
    <w:rsid w:val="00D3557B"/>
    <w:rsid w:val="00D404BD"/>
    <w:rsid w:val="00D40F12"/>
    <w:rsid w:val="00D43E7F"/>
    <w:rsid w:val="00D44B22"/>
    <w:rsid w:val="00D47637"/>
    <w:rsid w:val="00D47B08"/>
    <w:rsid w:val="00D5351E"/>
    <w:rsid w:val="00D53630"/>
    <w:rsid w:val="00D53A4F"/>
    <w:rsid w:val="00D543D6"/>
    <w:rsid w:val="00D54DD7"/>
    <w:rsid w:val="00D56760"/>
    <w:rsid w:val="00D5772C"/>
    <w:rsid w:val="00D60E34"/>
    <w:rsid w:val="00D655F2"/>
    <w:rsid w:val="00D67D0A"/>
    <w:rsid w:val="00D709F9"/>
    <w:rsid w:val="00D71A64"/>
    <w:rsid w:val="00D736CC"/>
    <w:rsid w:val="00D7594C"/>
    <w:rsid w:val="00D77184"/>
    <w:rsid w:val="00D80155"/>
    <w:rsid w:val="00D82366"/>
    <w:rsid w:val="00D82683"/>
    <w:rsid w:val="00D83709"/>
    <w:rsid w:val="00D841B2"/>
    <w:rsid w:val="00D847AC"/>
    <w:rsid w:val="00D84E24"/>
    <w:rsid w:val="00D911BE"/>
    <w:rsid w:val="00D95034"/>
    <w:rsid w:val="00D95300"/>
    <w:rsid w:val="00D95657"/>
    <w:rsid w:val="00D97659"/>
    <w:rsid w:val="00DA0339"/>
    <w:rsid w:val="00DB27F5"/>
    <w:rsid w:val="00DB2872"/>
    <w:rsid w:val="00DB3EDC"/>
    <w:rsid w:val="00DB546A"/>
    <w:rsid w:val="00DB7BDD"/>
    <w:rsid w:val="00DC03DE"/>
    <w:rsid w:val="00DC0C95"/>
    <w:rsid w:val="00DC1B50"/>
    <w:rsid w:val="00DC2131"/>
    <w:rsid w:val="00DC2AAB"/>
    <w:rsid w:val="00DC2D45"/>
    <w:rsid w:val="00DC3DEF"/>
    <w:rsid w:val="00DC43B6"/>
    <w:rsid w:val="00DC4E28"/>
    <w:rsid w:val="00DC57AD"/>
    <w:rsid w:val="00DC6662"/>
    <w:rsid w:val="00DC7492"/>
    <w:rsid w:val="00DD00F9"/>
    <w:rsid w:val="00DD0BA7"/>
    <w:rsid w:val="00DD2781"/>
    <w:rsid w:val="00DD44EA"/>
    <w:rsid w:val="00DD5023"/>
    <w:rsid w:val="00DD580B"/>
    <w:rsid w:val="00DD7E7E"/>
    <w:rsid w:val="00DE3137"/>
    <w:rsid w:val="00DE3F17"/>
    <w:rsid w:val="00DE4748"/>
    <w:rsid w:val="00DE5A9C"/>
    <w:rsid w:val="00DE7BF4"/>
    <w:rsid w:val="00DF0750"/>
    <w:rsid w:val="00DF0BCF"/>
    <w:rsid w:val="00DF100C"/>
    <w:rsid w:val="00DF110C"/>
    <w:rsid w:val="00DF1F2E"/>
    <w:rsid w:val="00DF21AC"/>
    <w:rsid w:val="00DF352A"/>
    <w:rsid w:val="00DF3BC6"/>
    <w:rsid w:val="00DF4DED"/>
    <w:rsid w:val="00DF5BE9"/>
    <w:rsid w:val="00E0084E"/>
    <w:rsid w:val="00E01076"/>
    <w:rsid w:val="00E010EA"/>
    <w:rsid w:val="00E011D4"/>
    <w:rsid w:val="00E01351"/>
    <w:rsid w:val="00E03068"/>
    <w:rsid w:val="00E032B0"/>
    <w:rsid w:val="00E03EEF"/>
    <w:rsid w:val="00E122F0"/>
    <w:rsid w:val="00E128D6"/>
    <w:rsid w:val="00E1316A"/>
    <w:rsid w:val="00E148A1"/>
    <w:rsid w:val="00E14FF7"/>
    <w:rsid w:val="00E15B6D"/>
    <w:rsid w:val="00E16373"/>
    <w:rsid w:val="00E168C3"/>
    <w:rsid w:val="00E17228"/>
    <w:rsid w:val="00E22753"/>
    <w:rsid w:val="00E247AA"/>
    <w:rsid w:val="00E2536B"/>
    <w:rsid w:val="00E259AC"/>
    <w:rsid w:val="00E26611"/>
    <w:rsid w:val="00E27890"/>
    <w:rsid w:val="00E27DDB"/>
    <w:rsid w:val="00E31D2E"/>
    <w:rsid w:val="00E31F48"/>
    <w:rsid w:val="00E33DAE"/>
    <w:rsid w:val="00E34182"/>
    <w:rsid w:val="00E35210"/>
    <w:rsid w:val="00E35D50"/>
    <w:rsid w:val="00E41ECF"/>
    <w:rsid w:val="00E42664"/>
    <w:rsid w:val="00E43135"/>
    <w:rsid w:val="00E43DCE"/>
    <w:rsid w:val="00E44AE1"/>
    <w:rsid w:val="00E46586"/>
    <w:rsid w:val="00E47ACD"/>
    <w:rsid w:val="00E47F71"/>
    <w:rsid w:val="00E520CF"/>
    <w:rsid w:val="00E53A7F"/>
    <w:rsid w:val="00E54949"/>
    <w:rsid w:val="00E602EC"/>
    <w:rsid w:val="00E62A83"/>
    <w:rsid w:val="00E647B9"/>
    <w:rsid w:val="00E7343D"/>
    <w:rsid w:val="00E750A9"/>
    <w:rsid w:val="00E8390E"/>
    <w:rsid w:val="00E865C2"/>
    <w:rsid w:val="00E86FDC"/>
    <w:rsid w:val="00E87B8E"/>
    <w:rsid w:val="00E90619"/>
    <w:rsid w:val="00E9118F"/>
    <w:rsid w:val="00E9285A"/>
    <w:rsid w:val="00E95B93"/>
    <w:rsid w:val="00E95D97"/>
    <w:rsid w:val="00E95DE7"/>
    <w:rsid w:val="00EA0039"/>
    <w:rsid w:val="00EA099C"/>
    <w:rsid w:val="00EA7757"/>
    <w:rsid w:val="00EB06C5"/>
    <w:rsid w:val="00EB1D0C"/>
    <w:rsid w:val="00EB2308"/>
    <w:rsid w:val="00EB266C"/>
    <w:rsid w:val="00EB2EC1"/>
    <w:rsid w:val="00EB3514"/>
    <w:rsid w:val="00EB752C"/>
    <w:rsid w:val="00EC09B2"/>
    <w:rsid w:val="00EC131D"/>
    <w:rsid w:val="00EC40AE"/>
    <w:rsid w:val="00EC60E2"/>
    <w:rsid w:val="00EC6321"/>
    <w:rsid w:val="00EC69AC"/>
    <w:rsid w:val="00ED24D4"/>
    <w:rsid w:val="00ED334D"/>
    <w:rsid w:val="00ED386A"/>
    <w:rsid w:val="00ED79EC"/>
    <w:rsid w:val="00EE18DF"/>
    <w:rsid w:val="00EE3136"/>
    <w:rsid w:val="00EE4C8B"/>
    <w:rsid w:val="00EE6A28"/>
    <w:rsid w:val="00EE743E"/>
    <w:rsid w:val="00EE74DD"/>
    <w:rsid w:val="00EF09A5"/>
    <w:rsid w:val="00EF7170"/>
    <w:rsid w:val="00EF7323"/>
    <w:rsid w:val="00EF7A4A"/>
    <w:rsid w:val="00F00053"/>
    <w:rsid w:val="00F006AB"/>
    <w:rsid w:val="00F00D51"/>
    <w:rsid w:val="00F02856"/>
    <w:rsid w:val="00F0446D"/>
    <w:rsid w:val="00F045FD"/>
    <w:rsid w:val="00F04EB1"/>
    <w:rsid w:val="00F051CF"/>
    <w:rsid w:val="00F0725D"/>
    <w:rsid w:val="00F10AD3"/>
    <w:rsid w:val="00F1194F"/>
    <w:rsid w:val="00F11B86"/>
    <w:rsid w:val="00F1233A"/>
    <w:rsid w:val="00F1504E"/>
    <w:rsid w:val="00F16BEC"/>
    <w:rsid w:val="00F20C80"/>
    <w:rsid w:val="00F2158C"/>
    <w:rsid w:val="00F2232A"/>
    <w:rsid w:val="00F22C4B"/>
    <w:rsid w:val="00F23E42"/>
    <w:rsid w:val="00F24095"/>
    <w:rsid w:val="00F24856"/>
    <w:rsid w:val="00F26D36"/>
    <w:rsid w:val="00F31A7C"/>
    <w:rsid w:val="00F31BCC"/>
    <w:rsid w:val="00F37DD2"/>
    <w:rsid w:val="00F40197"/>
    <w:rsid w:val="00F41610"/>
    <w:rsid w:val="00F420C7"/>
    <w:rsid w:val="00F426B9"/>
    <w:rsid w:val="00F45B4E"/>
    <w:rsid w:val="00F503EA"/>
    <w:rsid w:val="00F52860"/>
    <w:rsid w:val="00F52D03"/>
    <w:rsid w:val="00F5467E"/>
    <w:rsid w:val="00F55919"/>
    <w:rsid w:val="00F55F07"/>
    <w:rsid w:val="00F5639F"/>
    <w:rsid w:val="00F601E7"/>
    <w:rsid w:val="00F609D9"/>
    <w:rsid w:val="00F61373"/>
    <w:rsid w:val="00F61F84"/>
    <w:rsid w:val="00F621AE"/>
    <w:rsid w:val="00F62D61"/>
    <w:rsid w:val="00F634F9"/>
    <w:rsid w:val="00F65FD3"/>
    <w:rsid w:val="00F7129D"/>
    <w:rsid w:val="00F724EA"/>
    <w:rsid w:val="00F72E17"/>
    <w:rsid w:val="00F74571"/>
    <w:rsid w:val="00F7720B"/>
    <w:rsid w:val="00F775EC"/>
    <w:rsid w:val="00F77F46"/>
    <w:rsid w:val="00F81D0D"/>
    <w:rsid w:val="00F830AE"/>
    <w:rsid w:val="00F84B3C"/>
    <w:rsid w:val="00F84BD1"/>
    <w:rsid w:val="00F857C9"/>
    <w:rsid w:val="00F93BD1"/>
    <w:rsid w:val="00F943A1"/>
    <w:rsid w:val="00F95A1D"/>
    <w:rsid w:val="00F965CE"/>
    <w:rsid w:val="00F970EE"/>
    <w:rsid w:val="00FA01E9"/>
    <w:rsid w:val="00FA244D"/>
    <w:rsid w:val="00FA297E"/>
    <w:rsid w:val="00FA4652"/>
    <w:rsid w:val="00FA49E5"/>
    <w:rsid w:val="00FA4BB8"/>
    <w:rsid w:val="00FA606C"/>
    <w:rsid w:val="00FB06E6"/>
    <w:rsid w:val="00FC0E74"/>
    <w:rsid w:val="00FC0F85"/>
    <w:rsid w:val="00FC258D"/>
    <w:rsid w:val="00FC459E"/>
    <w:rsid w:val="00FC53C3"/>
    <w:rsid w:val="00FC5474"/>
    <w:rsid w:val="00FC5DA4"/>
    <w:rsid w:val="00FD0F15"/>
    <w:rsid w:val="00FD32F8"/>
    <w:rsid w:val="00FD61B1"/>
    <w:rsid w:val="00FD6871"/>
    <w:rsid w:val="00FE0DB0"/>
    <w:rsid w:val="00FE1730"/>
    <w:rsid w:val="00FE3C75"/>
    <w:rsid w:val="00FE6E94"/>
    <w:rsid w:val="00FF2F7B"/>
    <w:rsid w:val="00FF45DB"/>
    <w:rsid w:val="00FF4F38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5C52"/>
  <w15:chartTrackingRefBased/>
  <w15:docId w15:val="{AA87C401-829D-4C61-96CF-B58BE055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BodyText"/>
    <w:next w:val="Heading2"/>
    <w:link w:val="Heading1Char"/>
    <w:uiPriority w:val="3"/>
    <w:qFormat/>
    <w:rsid w:val="004F0A5D"/>
    <w:pPr>
      <w:spacing w:after="57" w:line="600" w:lineRule="exact"/>
      <w:outlineLvl w:val="0"/>
    </w:pPr>
    <w:rPr>
      <w:b/>
      <w:noProof/>
      <w:sz w:val="56"/>
      <w:szCs w:val="56"/>
      <w:lang w:eastAsia="en-GB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4F0A5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F0A5D"/>
    <w:rPr>
      <w:b/>
      <w:noProof/>
      <w:spacing w:val="-4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5"/>
    <w:rsid w:val="004F0A5D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8"/>
    <w:qFormat/>
    <w:rsid w:val="004F0A5D"/>
    <w:pPr>
      <w:spacing w:line="300" w:lineRule="exact"/>
    </w:pPr>
    <w:rPr>
      <w:rFonts w:asciiTheme="minorHAnsi" w:eastAsiaTheme="minorHAnsi" w:hAnsiTheme="minorHAnsi" w:cstheme="minorBidi"/>
      <w:spacing w:val="-4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8"/>
    <w:rsid w:val="004F0A5D"/>
    <w:rPr>
      <w:spacing w:val="-4"/>
      <w:sz w:val="24"/>
    </w:rPr>
  </w:style>
  <w:style w:type="paragraph" w:customStyle="1" w:styleId="Introduction">
    <w:name w:val="Introduction"/>
    <w:basedOn w:val="BodyText"/>
    <w:next w:val="BodyText"/>
    <w:uiPriority w:val="7"/>
    <w:qFormat/>
    <w:rsid w:val="004F0A5D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4F0A5D"/>
    <w:rPr>
      <w:color w:val="00ABBC"/>
    </w:rPr>
  </w:style>
  <w:style w:type="paragraph" w:styleId="ListParagraph">
    <w:name w:val="List Paragraph"/>
    <w:aliases w:val="Bullet (Square)"/>
    <w:basedOn w:val="Normal"/>
    <w:link w:val="ListParagraphChar"/>
    <w:uiPriority w:val="34"/>
    <w:qFormat/>
    <w:rsid w:val="004F0A5D"/>
    <w:pPr>
      <w:ind w:left="720"/>
      <w:contextualSpacing/>
    </w:pPr>
  </w:style>
  <w:style w:type="character" w:customStyle="1" w:styleId="ListParagraphChar">
    <w:name w:val="List Paragraph Char"/>
    <w:aliases w:val="Bullet (Square) Char"/>
    <w:basedOn w:val="DefaultParagraphFont"/>
    <w:link w:val="ListParagraph"/>
    <w:uiPriority w:val="34"/>
    <w:locked/>
    <w:rsid w:val="004F0A5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0A5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45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4F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4F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9+1" ma:contentTypeID="0x0101002CFD50891A73487FBF1A841208B5DC080B0083090D89FC6A9D4EA18468693190962A" ma:contentTypeVersion="8" ma:contentTypeDescription="" ma:contentTypeScope="" ma:versionID="3c2f8beb1607c83307da7433776928a6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f81edbdf-0367-43ab-86d9-3a7d27c0e224" targetNamespace="http://schemas.microsoft.com/office/2006/metadata/properties" ma:root="true" ma:fieldsID="79d534f980a0d8e4f0ce5f5ef480d577" ns1:_="" ns2:_="" ns3:_="">
    <xsd:import namespace="http://schemas.microsoft.com/sharepoint/v3"/>
    <xsd:import namespace="184af400-6cf4-4be6-9056-547874e8c8ee"/>
    <xsd:import namespace="f81edbdf-0367-43ab-86d9-3a7d27c0e22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dbdf-0367-43ab-86d9-3a7d27c0e2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lcf76f155ced4ddcb4097134ff3c332f xmlns="f81edbdf-0367-43ab-86d9-3a7d27c0e224">
      <Terms xmlns="http://schemas.microsoft.com/office/infopath/2007/PartnerControls"/>
    </lcf76f155ced4ddcb4097134ff3c332f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Props1.xml><?xml version="1.0" encoding="utf-8"?>
<ds:datastoreItem xmlns:ds="http://schemas.openxmlformats.org/officeDocument/2006/customXml" ds:itemID="{F4B7823A-3469-499E-AE8A-8176000F2BB7}"/>
</file>

<file path=customXml/itemProps2.xml><?xml version="1.0" encoding="utf-8"?>
<ds:datastoreItem xmlns:ds="http://schemas.openxmlformats.org/officeDocument/2006/customXml" ds:itemID="{75CC1DF7-A5C8-4F17-8CE6-BCE1D1D4B7C0}"/>
</file>

<file path=customXml/itemProps3.xml><?xml version="1.0" encoding="utf-8"?>
<ds:datastoreItem xmlns:ds="http://schemas.openxmlformats.org/officeDocument/2006/customXml" ds:itemID="{07CC8FBF-B326-4140-AB0C-D97756EF2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22575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661</cp:revision>
  <cp:lastPrinted>2022-12-06T12:50:00Z</cp:lastPrinted>
  <dcterms:created xsi:type="dcterms:W3CDTF">2023-03-09T08:55:00Z</dcterms:created>
  <dcterms:modified xsi:type="dcterms:W3CDTF">2023-08-15T13:51:00Z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0x0101002CFD50891A73487FBF1A841208B5DC080B0083090D89FC6A9D4EA18468693190962A</vt:lpwstr>
  </property>
</Properties>
</file>