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9EB" w14:textId="77777777" w:rsidR="004F0A5D" w:rsidRPr="00BA7982" w:rsidRDefault="004F0A5D" w:rsidP="004F0A5D">
      <w:pPr>
        <w:pStyle w:val="Heading1Orange"/>
        <w:rPr>
          <w:rFonts w:ascii="Arial" w:hAnsi="Arial" w:cs="Arial"/>
        </w:rPr>
      </w:pPr>
      <w:r w:rsidRPr="00BA7982">
        <w:rPr>
          <w:rFonts w:ascii="Arial" w:hAnsi="Arial" w:cs="Arial"/>
        </w:rPr>
        <w:t>AAG</w:t>
      </w:r>
    </w:p>
    <w:p w14:paraId="2A96240B" w14:textId="77777777" w:rsidR="004F0A5D" w:rsidRPr="00BA7982" w:rsidRDefault="004F0A5D" w:rsidP="004F0A5D">
      <w:pPr>
        <w:pStyle w:val="Heading2"/>
        <w:rPr>
          <w:rFonts w:ascii="Arial" w:hAnsi="Arial" w:cs="Arial"/>
        </w:rPr>
      </w:pPr>
    </w:p>
    <w:p w14:paraId="5CF19243" w14:textId="77777777" w:rsidR="004F0A5D" w:rsidRPr="00BA7982" w:rsidRDefault="004F0A5D" w:rsidP="004F0A5D">
      <w:pPr>
        <w:pStyle w:val="Heading2"/>
        <w:rPr>
          <w:rFonts w:ascii="Arial" w:hAnsi="Arial" w:cs="Arial"/>
          <w:sz w:val="28"/>
        </w:rPr>
      </w:pPr>
      <w:r w:rsidRPr="00BA7982">
        <w:rPr>
          <w:rFonts w:ascii="Arial" w:hAnsi="Arial" w:cs="Arial"/>
          <w:sz w:val="28"/>
        </w:rPr>
        <w:t>Minutes of Meeting</w:t>
      </w:r>
    </w:p>
    <w:p w14:paraId="3A84ED21" w14:textId="77777777" w:rsidR="004F0A5D" w:rsidRPr="00BA7982" w:rsidRDefault="004F0A5D" w:rsidP="004F0A5D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4F0A5D" w:rsidRPr="00FC0F85" w14:paraId="1E976FAA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1889EE32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560" w:type="dxa"/>
            <w:vAlign w:val="center"/>
          </w:tcPr>
          <w:p w14:paraId="7E83BA85" w14:textId="6F6754CA" w:rsidR="004F0A5D" w:rsidRPr="00FC0F85" w:rsidRDefault="00F0446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04/05/2023</w:t>
            </w:r>
          </w:p>
        </w:tc>
      </w:tr>
      <w:tr w:rsidR="004F0A5D" w:rsidRPr="00FC0F85" w14:paraId="6BA3FC5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32A37D3D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560" w:type="dxa"/>
            <w:vAlign w:val="center"/>
          </w:tcPr>
          <w:p w14:paraId="450854A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10:00am-12:00pm</w:t>
            </w:r>
          </w:p>
        </w:tc>
      </w:tr>
      <w:tr w:rsidR="004F0A5D" w:rsidRPr="00FC0F85" w14:paraId="65B3484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0D1514AA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60" w:type="dxa"/>
            <w:vAlign w:val="center"/>
          </w:tcPr>
          <w:p w14:paraId="7CC67CEB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MS Teams Call</w:t>
            </w:r>
          </w:p>
        </w:tc>
      </w:tr>
      <w:tr w:rsidR="004F0A5D" w:rsidRPr="00FC0F85" w14:paraId="21F5F607" w14:textId="77777777" w:rsidTr="00A143D4">
        <w:trPr>
          <w:trHeight w:val="737"/>
        </w:trPr>
        <w:tc>
          <w:tcPr>
            <w:tcW w:w="2160" w:type="dxa"/>
            <w:vAlign w:val="center"/>
          </w:tcPr>
          <w:p w14:paraId="29E9481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7560" w:type="dxa"/>
            <w:vAlign w:val="center"/>
          </w:tcPr>
          <w:p w14:paraId="757EF124" w14:textId="741687DA" w:rsidR="004F0A5D" w:rsidRPr="00AF790D" w:rsidRDefault="00EB06C5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Ruth Jennings – Sainsbury’s (Chair), </w:t>
            </w:r>
            <w:r w:rsidR="00AF11FD" w:rsidRPr="00AF11FD">
              <w:rPr>
                <w:rFonts w:ascii="Arial" w:hAnsi="Arial" w:cs="Arial"/>
                <w:b/>
                <w:sz w:val="22"/>
                <w:szCs w:val="22"/>
              </w:rPr>
              <w:t xml:space="preserve">George Brown – SQA Accreditation (Vice-Chair), </w:t>
            </w:r>
            <w:r w:rsidR="0027525D" w:rsidRPr="00AF11FD">
              <w:rPr>
                <w:rFonts w:ascii="Arial" w:hAnsi="Arial" w:cs="Arial"/>
                <w:b/>
                <w:sz w:val="22"/>
                <w:szCs w:val="22"/>
              </w:rPr>
              <w:t xml:space="preserve">Stuart McKenna – STF, </w:t>
            </w:r>
            <w:r w:rsidR="004F0A5D" w:rsidRPr="00AF11FD">
              <w:rPr>
                <w:rFonts w:ascii="Arial" w:hAnsi="Arial" w:cs="Arial"/>
                <w:b/>
                <w:sz w:val="22"/>
                <w:szCs w:val="22"/>
              </w:rPr>
              <w:t>Sheila Dunn – The SCQF Partnership,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Diane</w:t>
            </w:r>
            <w:r w:rsidR="00E17228">
              <w:rPr>
                <w:rFonts w:ascii="Arial" w:hAnsi="Arial" w:cs="Arial"/>
                <w:b/>
                <w:sz w:val="22"/>
                <w:szCs w:val="22"/>
              </w:rPr>
              <w:t xml:space="preserve"> Mitchell – West Lothian College</w:t>
            </w:r>
            <w:r w:rsidR="008645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1064D">
              <w:rPr>
                <w:rFonts w:ascii="Arial" w:hAnsi="Arial" w:cs="Arial"/>
                <w:b/>
                <w:sz w:val="22"/>
                <w:szCs w:val="22"/>
              </w:rPr>
              <w:t xml:space="preserve">Nicola Crawford – Education Scotland, </w:t>
            </w:r>
            <w:r w:rsidR="00290F18">
              <w:rPr>
                <w:rFonts w:ascii="Arial" w:hAnsi="Arial" w:cs="Arial"/>
                <w:b/>
                <w:sz w:val="22"/>
                <w:szCs w:val="22"/>
              </w:rPr>
              <w:t xml:space="preserve">Catherine Ferry – Scottish Government, </w:t>
            </w:r>
            <w:r w:rsidR="00261A89">
              <w:rPr>
                <w:rFonts w:ascii="Arial" w:hAnsi="Arial" w:cs="Arial"/>
                <w:b/>
                <w:sz w:val="22"/>
                <w:szCs w:val="22"/>
              </w:rPr>
              <w:t>Alison Eales</w:t>
            </w:r>
            <w:r w:rsidR="00AD0AD4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261A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AD4">
              <w:rPr>
                <w:rFonts w:ascii="Arial" w:hAnsi="Arial" w:cs="Arial"/>
                <w:b/>
                <w:sz w:val="22"/>
                <w:szCs w:val="22"/>
              </w:rPr>
              <w:t xml:space="preserve">QAA, </w:t>
            </w:r>
            <w:r w:rsidR="00152727" w:rsidRPr="00CB7404">
              <w:rPr>
                <w:rFonts w:ascii="Arial" w:hAnsi="Arial" w:cs="Arial"/>
                <w:b/>
                <w:sz w:val="22"/>
                <w:szCs w:val="22"/>
              </w:rPr>
              <w:t>Terry Dillon – SDS</w:t>
            </w:r>
            <w:r w:rsidR="007530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B465A">
              <w:rPr>
                <w:rFonts w:ascii="Arial" w:hAnsi="Arial" w:cs="Arial"/>
                <w:b/>
                <w:sz w:val="22"/>
                <w:szCs w:val="22"/>
              </w:rPr>
              <w:t>Nicola Conner – SDS (Secretariat)</w:t>
            </w:r>
          </w:p>
        </w:tc>
      </w:tr>
    </w:tbl>
    <w:p w14:paraId="494A7DCF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4F0A5D" w:rsidRPr="00FC0F85" w14:paraId="0B840A5B" w14:textId="77777777" w:rsidTr="00073C19">
        <w:trPr>
          <w:trHeight w:val="578"/>
        </w:trPr>
        <w:tc>
          <w:tcPr>
            <w:tcW w:w="8648" w:type="dxa"/>
            <w:gridSpan w:val="2"/>
            <w:shd w:val="clear" w:color="auto" w:fill="FFFFFF"/>
          </w:tcPr>
          <w:p w14:paraId="49C94B09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A507422" w14:textId="2033F6B3" w:rsidR="004F0A5D" w:rsidRPr="00FC0F85" w:rsidRDefault="004F0A5D" w:rsidP="00442467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FC0F8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4F0A5D" w:rsidRPr="00FC0F85" w14:paraId="0B733767" w14:textId="77777777" w:rsidTr="00073C19">
        <w:trPr>
          <w:trHeight w:val="347"/>
        </w:trPr>
        <w:tc>
          <w:tcPr>
            <w:tcW w:w="851" w:type="dxa"/>
            <w:shd w:val="clear" w:color="auto" w:fill="FFFFFF"/>
          </w:tcPr>
          <w:p w14:paraId="638DFBE7" w14:textId="7C6B4223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905CB9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Apologies &amp; Guests</w:t>
            </w:r>
          </w:p>
        </w:tc>
        <w:tc>
          <w:tcPr>
            <w:tcW w:w="992" w:type="dxa"/>
            <w:shd w:val="clear" w:color="auto" w:fill="FFFFFF"/>
          </w:tcPr>
          <w:p w14:paraId="4E617285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7947F8F6" w14:textId="77777777" w:rsidTr="00073C19">
        <w:tc>
          <w:tcPr>
            <w:tcW w:w="851" w:type="dxa"/>
            <w:shd w:val="clear" w:color="auto" w:fill="FFFFFF"/>
          </w:tcPr>
          <w:p w14:paraId="5E213126" w14:textId="77777777" w:rsidR="004F0A5D" w:rsidRPr="00C86D26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/>
          </w:tcPr>
          <w:p w14:paraId="322BCE7B" w14:textId="18C60AAD" w:rsidR="004343A9" w:rsidRDefault="004343A9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Apologies</w:t>
            </w:r>
          </w:p>
          <w:p w14:paraId="30684583" w14:textId="7334298C" w:rsidR="007530FB" w:rsidRPr="00610003" w:rsidRDefault="00610003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0003">
              <w:rPr>
                <w:rFonts w:ascii="Arial" w:hAnsi="Arial" w:cs="Arial"/>
                <w:bCs/>
                <w:sz w:val="20"/>
                <w:szCs w:val="20"/>
              </w:rPr>
              <w:t>Alison Bailey-Bucknell – FISSS</w:t>
            </w:r>
            <w:r w:rsidR="004F5735">
              <w:rPr>
                <w:rFonts w:ascii="Arial" w:hAnsi="Arial" w:cs="Arial"/>
                <w:bCs/>
                <w:sz w:val="20"/>
                <w:szCs w:val="20"/>
              </w:rPr>
              <w:t xml:space="preserve">, Stevie Lynn 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4F57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>Scottish Power</w:t>
            </w:r>
            <w:r w:rsidR="004F5735">
              <w:rPr>
                <w:rFonts w:ascii="Arial" w:hAnsi="Arial" w:cs="Arial"/>
                <w:bCs/>
                <w:sz w:val="20"/>
                <w:szCs w:val="20"/>
              </w:rPr>
              <w:t>, Paul Gibson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="004F5735"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 xml:space="preserve">cottish </w:t>
            </w:r>
            <w:r w:rsidR="004F5735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4C3354">
              <w:rPr>
                <w:rFonts w:ascii="Arial" w:hAnsi="Arial" w:cs="Arial"/>
                <w:bCs/>
                <w:sz w:val="20"/>
                <w:szCs w:val="20"/>
              </w:rPr>
              <w:t>overnment</w:t>
            </w:r>
            <w:r w:rsidR="00290F1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90F18" w:rsidRPr="00290F18">
              <w:rPr>
                <w:rFonts w:ascii="Arial" w:hAnsi="Arial" w:cs="Arial"/>
                <w:bCs/>
                <w:sz w:val="20"/>
                <w:szCs w:val="20"/>
              </w:rPr>
              <w:t>Tommy Breslin – STUC,</w:t>
            </w:r>
          </w:p>
          <w:p w14:paraId="5AFD43FB" w14:textId="77777777" w:rsidR="002A6838" w:rsidRDefault="002A6838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77721D" w14:textId="11551772" w:rsidR="007530FB" w:rsidRDefault="007530FB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Guests</w:t>
            </w:r>
          </w:p>
          <w:p w14:paraId="287A1174" w14:textId="52A133B3" w:rsidR="00584712" w:rsidRDefault="00AD0AD4" w:rsidP="0068706B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John </w:t>
            </w:r>
            <w:r w:rsidR="009C6175">
              <w:rPr>
                <w:rFonts w:ascii="Arial" w:hAnsi="Arial" w:cs="Arial"/>
                <w:bCs/>
                <w:sz w:val="20"/>
                <w:szCs w:val="20"/>
              </w:rPr>
              <w:t xml:space="preserve">Cairns – Balfour Beatty, Gaynor </w:t>
            </w:r>
            <w:r w:rsidR="00655DDD">
              <w:rPr>
                <w:rFonts w:ascii="Arial" w:hAnsi="Arial" w:cs="Arial"/>
                <w:bCs/>
                <w:sz w:val="20"/>
                <w:szCs w:val="20"/>
              </w:rPr>
              <w:t xml:space="preserve">Cook – BT, </w:t>
            </w:r>
            <w:r w:rsidR="007530FB">
              <w:rPr>
                <w:rFonts w:ascii="Arial" w:hAnsi="Arial" w:cs="Arial"/>
                <w:bCs/>
                <w:sz w:val="20"/>
                <w:szCs w:val="20"/>
              </w:rPr>
              <w:t>Laura</w:t>
            </w:r>
            <w:r w:rsidR="0068706B">
              <w:rPr>
                <w:rFonts w:ascii="Arial" w:hAnsi="Arial" w:cs="Arial"/>
                <w:bCs/>
                <w:sz w:val="20"/>
                <w:szCs w:val="20"/>
              </w:rPr>
              <w:t xml:space="preserve"> Brady</w:t>
            </w:r>
            <w:r w:rsidR="007530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08D6">
              <w:rPr>
                <w:rFonts w:ascii="Arial" w:hAnsi="Arial" w:cs="Arial"/>
                <w:bCs/>
                <w:sz w:val="20"/>
                <w:szCs w:val="20"/>
              </w:rPr>
              <w:t>– Skills Development Scotland</w:t>
            </w:r>
          </w:p>
          <w:p w14:paraId="3B893D2F" w14:textId="2CB14A3F" w:rsidR="00485409" w:rsidRPr="00C86D26" w:rsidRDefault="00485409" w:rsidP="0068706B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AFD0F7D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5BD5FF74" w14:textId="77777777" w:rsidTr="00073C19">
        <w:trPr>
          <w:trHeight w:val="352"/>
        </w:trPr>
        <w:tc>
          <w:tcPr>
            <w:tcW w:w="851" w:type="dxa"/>
            <w:shd w:val="clear" w:color="auto" w:fill="FFFFFF"/>
          </w:tcPr>
          <w:p w14:paraId="5926EB4E" w14:textId="412C8131" w:rsidR="004F0A5D" w:rsidRPr="00FC0F85" w:rsidRDefault="0095019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0A5D"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451DE594" w14:textId="0DD4E85F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B90891">
              <w:rPr>
                <w:rFonts w:ascii="Arial" w:hAnsi="Arial" w:cs="Arial"/>
                <w:b/>
                <w:sz w:val="22"/>
                <w:szCs w:val="22"/>
              </w:rPr>
              <w:t xml:space="preserve"> &amp; Previous Minutes</w:t>
            </w:r>
          </w:p>
        </w:tc>
        <w:tc>
          <w:tcPr>
            <w:tcW w:w="992" w:type="dxa"/>
            <w:shd w:val="clear" w:color="auto" w:fill="FFFFFF"/>
          </w:tcPr>
          <w:p w14:paraId="26FD3B3B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14D24B6F" w14:textId="77777777" w:rsidTr="00073C19">
        <w:tc>
          <w:tcPr>
            <w:tcW w:w="851" w:type="dxa"/>
            <w:shd w:val="clear" w:color="auto" w:fill="FFFFFF"/>
          </w:tcPr>
          <w:p w14:paraId="3BB5E7B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504E43C" w14:textId="77777777" w:rsidR="00050BB5" w:rsidRDefault="00531E27" w:rsidP="005F13D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Welcome</w:t>
            </w:r>
            <w:r w:rsidR="00050B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introduction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observers John and Gaynor who will be joining </w:t>
            </w:r>
            <w:r w:rsidR="00655DD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AAG </w:t>
            </w:r>
            <w:r w:rsidR="00050B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as members in the coming weeks.</w:t>
            </w:r>
          </w:p>
          <w:p w14:paraId="2C70B820" w14:textId="77777777" w:rsidR="006B04BD" w:rsidRDefault="006B04BD" w:rsidP="005F13D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5B0563A" w14:textId="4AA77A5C" w:rsidR="006B04BD" w:rsidRPr="00531E27" w:rsidRDefault="0064481D" w:rsidP="005F13D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RJ introduced </w:t>
            </w:r>
            <w:r w:rsidR="0050164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another</w:t>
            </w:r>
            <w:r w:rsidR="006B04BD" w:rsidRPr="006B04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7F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new </w:t>
            </w:r>
            <w:r w:rsidR="006B04BD" w:rsidRPr="006B04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member</w:t>
            </w:r>
            <w:r w:rsidR="0050164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6B04BD" w:rsidRPr="006B04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Dr Matthew Barr</w:t>
            </w:r>
            <w:r w:rsidR="0050164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who was</w:t>
            </w:r>
            <w:r w:rsidR="00F77F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unfortunately</w:t>
            </w:r>
            <w:r w:rsidR="0050164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unable</w:t>
            </w:r>
            <w:r w:rsidR="00F77F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attend.</w:t>
            </w:r>
            <w:r w:rsidR="0050164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B04BD" w:rsidRPr="006B04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Matthew is a Senior Lecturer within Computing Science at Glasgow University and leads on some key pieces of work namely the GA programme and widening access.</w:t>
            </w:r>
          </w:p>
        </w:tc>
        <w:tc>
          <w:tcPr>
            <w:tcW w:w="992" w:type="dxa"/>
            <w:shd w:val="clear" w:color="auto" w:fill="FFFFFF"/>
          </w:tcPr>
          <w:p w14:paraId="6D46E7B9" w14:textId="77777777" w:rsidR="004F0A5D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3F5618" w14:textId="77777777" w:rsidR="002B6B5E" w:rsidRDefault="002B6B5E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8E8C4C9" w14:textId="197A41C4" w:rsidR="002B6B5E" w:rsidRPr="00FC0F85" w:rsidRDefault="002B6B5E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4D9DA718" w14:textId="77777777" w:rsidTr="00073C19">
        <w:trPr>
          <w:trHeight w:val="423"/>
        </w:trPr>
        <w:tc>
          <w:tcPr>
            <w:tcW w:w="851" w:type="dxa"/>
            <w:shd w:val="clear" w:color="auto" w:fill="FFFFFF"/>
          </w:tcPr>
          <w:p w14:paraId="381D6521" w14:textId="11782F89" w:rsidR="00AC0873" w:rsidRPr="00FC0F85" w:rsidRDefault="0082424C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C0873"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5ABD8119" w14:textId="2E1D3836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Development Manager Update  </w:t>
            </w:r>
          </w:p>
        </w:tc>
        <w:tc>
          <w:tcPr>
            <w:tcW w:w="992" w:type="dxa"/>
            <w:shd w:val="clear" w:color="auto" w:fill="FFFFFF"/>
          </w:tcPr>
          <w:p w14:paraId="330E7B51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87B915A" w14:textId="77777777" w:rsidTr="00073C19">
        <w:trPr>
          <w:trHeight w:val="644"/>
        </w:trPr>
        <w:tc>
          <w:tcPr>
            <w:tcW w:w="851" w:type="dxa"/>
            <w:shd w:val="clear" w:color="auto" w:fill="FFFFFF"/>
          </w:tcPr>
          <w:p w14:paraId="3420274D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3FBE851F" w14:textId="77777777" w:rsidR="00F16BEC" w:rsidRDefault="00F16BEC" w:rsidP="002666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76146B" w14:textId="0486BAF2" w:rsidR="00F16BEC" w:rsidRDefault="00F16BEC" w:rsidP="002666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BEC">
              <w:rPr>
                <w:rFonts w:ascii="Arial" w:hAnsi="Arial" w:cs="Arial"/>
                <w:sz w:val="20"/>
                <w:szCs w:val="20"/>
                <w:u w:val="single"/>
              </w:rPr>
              <w:t>Digital Technology</w:t>
            </w:r>
          </w:p>
          <w:p w14:paraId="4CAB5419" w14:textId="77777777" w:rsidR="00F16BEC" w:rsidRPr="00F16BEC" w:rsidRDefault="00F16BEC" w:rsidP="002666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603A65F" w14:textId="1FC4B01B" w:rsidR="00B6122E" w:rsidRDefault="00EE18DF" w:rsidP="0026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Technology qualification </w:t>
            </w:r>
            <w:r w:rsidR="00655DD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sz w:val="20"/>
                <w:szCs w:val="20"/>
              </w:rPr>
              <w:t>accredited in April</w:t>
            </w:r>
            <w:r w:rsidR="00655DDD">
              <w:rPr>
                <w:rFonts w:ascii="Arial" w:hAnsi="Arial" w:cs="Arial"/>
                <w:sz w:val="20"/>
                <w:szCs w:val="20"/>
              </w:rPr>
              <w:t xml:space="preserve"> and is currently </w:t>
            </w:r>
            <w:r>
              <w:rPr>
                <w:rFonts w:ascii="Arial" w:hAnsi="Arial" w:cs="Arial"/>
                <w:sz w:val="20"/>
                <w:szCs w:val="20"/>
              </w:rPr>
              <w:t>awaiting codes</w:t>
            </w:r>
            <w:r w:rsidR="00B6122E">
              <w:rPr>
                <w:rFonts w:ascii="Arial" w:hAnsi="Arial" w:cs="Arial"/>
                <w:sz w:val="20"/>
                <w:szCs w:val="20"/>
              </w:rPr>
              <w:t xml:space="preserve"> which will allow this framework to return to AAG for approval </w:t>
            </w:r>
            <w:r w:rsidR="00655DDD">
              <w:rPr>
                <w:rFonts w:ascii="Arial" w:hAnsi="Arial" w:cs="Arial"/>
                <w:sz w:val="20"/>
                <w:szCs w:val="20"/>
              </w:rPr>
              <w:t>for delivery.</w:t>
            </w:r>
          </w:p>
          <w:p w14:paraId="4EBD4EE4" w14:textId="77777777" w:rsidR="00DF352A" w:rsidRDefault="00DF352A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843EC" w14:textId="0C6B7A97" w:rsidR="00DF352A" w:rsidRPr="00800BEF" w:rsidRDefault="00DF352A" w:rsidP="002666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BEF">
              <w:rPr>
                <w:rFonts w:ascii="Arial" w:hAnsi="Arial" w:cs="Arial"/>
                <w:sz w:val="20"/>
                <w:szCs w:val="20"/>
                <w:u w:val="single"/>
              </w:rPr>
              <w:t>Carpentry &amp; Joinery</w:t>
            </w:r>
          </w:p>
          <w:p w14:paraId="56460C41" w14:textId="77777777" w:rsidR="00DF352A" w:rsidRDefault="00DF352A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DA030" w14:textId="711C6603" w:rsidR="00C21BF7" w:rsidRDefault="00DF352A" w:rsidP="0026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asked if the ongoing </w:t>
            </w:r>
            <w:r w:rsidR="00800BEF">
              <w:rPr>
                <w:rFonts w:ascii="Arial" w:hAnsi="Arial" w:cs="Arial"/>
                <w:sz w:val="20"/>
                <w:szCs w:val="20"/>
              </w:rPr>
              <w:t>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BEF">
              <w:rPr>
                <w:rFonts w:ascii="Arial" w:hAnsi="Arial" w:cs="Arial"/>
                <w:sz w:val="20"/>
                <w:szCs w:val="20"/>
              </w:rPr>
              <w:t>regarding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PDA </w:t>
            </w:r>
            <w:r w:rsidR="00800BEF">
              <w:rPr>
                <w:rFonts w:ascii="Arial" w:hAnsi="Arial" w:cs="Arial"/>
                <w:sz w:val="20"/>
                <w:szCs w:val="20"/>
              </w:rPr>
              <w:t xml:space="preserve">is a result of wide consultation and the variety of views and opinions that come with it, </w:t>
            </w:r>
            <w:r w:rsidR="00197E97">
              <w:rPr>
                <w:rFonts w:ascii="Arial" w:hAnsi="Arial" w:cs="Arial"/>
                <w:sz w:val="20"/>
                <w:szCs w:val="20"/>
              </w:rPr>
              <w:t xml:space="preserve">or if there are issues with the PDA as it is now. LB confirmed that this was first raised </w:t>
            </w:r>
            <w:r w:rsidR="007E60BA">
              <w:rPr>
                <w:rFonts w:ascii="Arial" w:hAnsi="Arial" w:cs="Arial"/>
                <w:sz w:val="20"/>
                <w:szCs w:val="20"/>
              </w:rPr>
              <w:t xml:space="preserve">by the TEG, and </w:t>
            </w:r>
            <w:r w:rsidR="00800BEF">
              <w:rPr>
                <w:rFonts w:ascii="Arial" w:hAnsi="Arial" w:cs="Arial"/>
                <w:sz w:val="20"/>
                <w:szCs w:val="20"/>
              </w:rPr>
              <w:t>several</w:t>
            </w:r>
            <w:r w:rsidR="007E60BA">
              <w:rPr>
                <w:rFonts w:ascii="Arial" w:hAnsi="Arial" w:cs="Arial"/>
                <w:sz w:val="20"/>
                <w:szCs w:val="20"/>
              </w:rPr>
              <w:t xml:space="preserve"> stakeholders were brought in</w:t>
            </w:r>
            <w:r w:rsidR="00800BEF">
              <w:rPr>
                <w:rFonts w:ascii="Arial" w:hAnsi="Arial" w:cs="Arial"/>
                <w:sz w:val="20"/>
                <w:szCs w:val="20"/>
              </w:rPr>
              <w:t xml:space="preserve"> to discuss available options for best approach.</w:t>
            </w:r>
          </w:p>
          <w:p w14:paraId="4D08FE9E" w14:textId="77777777" w:rsidR="00E9118F" w:rsidRDefault="00E9118F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6A6C3" w14:textId="42012478" w:rsidR="00E9118F" w:rsidRDefault="00E9118F" w:rsidP="0026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LB queried if there would be any barriers for approval by having the PDA as the only off-the-job training. Members felt that this wouldn’t impact approval, but it may create the risk if having a single point of failure.</w:t>
            </w:r>
          </w:p>
          <w:p w14:paraId="0CEFB574" w14:textId="77777777" w:rsidR="00E9118F" w:rsidRDefault="00E9118F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8962A" w14:textId="1B0B42A9" w:rsidR="00E9118F" w:rsidRPr="00073C19" w:rsidRDefault="00BF4168" w:rsidP="002666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C19">
              <w:rPr>
                <w:rFonts w:ascii="Arial" w:hAnsi="Arial" w:cs="Arial"/>
                <w:color w:val="FF0000"/>
                <w:sz w:val="20"/>
                <w:szCs w:val="20"/>
              </w:rPr>
              <w:t>LB</w:t>
            </w:r>
            <w:r w:rsidR="00D950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F5CA8">
              <w:rPr>
                <w:rFonts w:ascii="Arial" w:hAnsi="Arial" w:cs="Arial"/>
                <w:color w:val="FF0000"/>
                <w:sz w:val="20"/>
                <w:szCs w:val="20"/>
              </w:rPr>
              <w:t>and TD</w:t>
            </w:r>
            <w:r w:rsidRPr="00073C1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1C59">
              <w:rPr>
                <w:rFonts w:ascii="Arial" w:hAnsi="Arial" w:cs="Arial"/>
                <w:color w:val="FF0000"/>
                <w:sz w:val="20"/>
                <w:szCs w:val="20"/>
              </w:rPr>
              <w:t xml:space="preserve">to discuss this risk offline and bring back to the group </w:t>
            </w:r>
          </w:p>
          <w:p w14:paraId="0B49DCEB" w14:textId="77777777" w:rsidR="00800BEF" w:rsidRDefault="00800BEF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876E2" w14:textId="77777777" w:rsidR="00F601E7" w:rsidRDefault="00F601E7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86025" w14:textId="53E8412C" w:rsidR="00800BEF" w:rsidRPr="00DD0BA7" w:rsidRDefault="00106241" w:rsidP="002666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0BA7">
              <w:rPr>
                <w:rFonts w:ascii="Arial" w:hAnsi="Arial" w:cs="Arial"/>
                <w:sz w:val="20"/>
                <w:szCs w:val="20"/>
                <w:u w:val="single"/>
              </w:rPr>
              <w:t>Transport (Rail)</w:t>
            </w:r>
          </w:p>
          <w:p w14:paraId="1933D8EF" w14:textId="77777777" w:rsidR="00106241" w:rsidRDefault="00106241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7F01" w14:textId="0F387F2E" w:rsidR="00106241" w:rsidRDefault="004F138D" w:rsidP="0026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 u</w:t>
            </w:r>
            <w:r w:rsidR="00106241">
              <w:rPr>
                <w:rFonts w:ascii="Arial" w:hAnsi="Arial" w:cs="Arial"/>
                <w:sz w:val="20"/>
                <w:szCs w:val="20"/>
              </w:rPr>
              <w:t>pdate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06241">
              <w:rPr>
                <w:rFonts w:ascii="Arial" w:hAnsi="Arial" w:cs="Arial"/>
                <w:sz w:val="20"/>
                <w:szCs w:val="20"/>
              </w:rPr>
              <w:t xml:space="preserve"> on TEG Chair</w:t>
            </w:r>
            <w:r w:rsidR="00DD0BA7">
              <w:rPr>
                <w:rFonts w:ascii="Arial" w:hAnsi="Arial" w:cs="Arial"/>
                <w:sz w:val="20"/>
                <w:szCs w:val="20"/>
              </w:rPr>
              <w:t xml:space="preserve"> for Rail, this chair named in the slide deck will be stepping down and work is ongoing to identify a new </w:t>
            </w:r>
            <w:r>
              <w:rPr>
                <w:rFonts w:ascii="Arial" w:hAnsi="Arial" w:cs="Arial"/>
                <w:sz w:val="20"/>
                <w:szCs w:val="20"/>
              </w:rPr>
              <w:t>individual for this role.</w:t>
            </w:r>
          </w:p>
          <w:p w14:paraId="265148BD" w14:textId="77777777" w:rsidR="00DF352A" w:rsidRDefault="00DF352A" w:rsidP="00266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41914" w14:textId="01229240" w:rsidR="00F16BEC" w:rsidRDefault="001A30A2" w:rsidP="0026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TD will take new members through an induction session which will go through the layout and structure of the development manager update. </w:t>
            </w:r>
          </w:p>
          <w:p w14:paraId="305C814E" w14:textId="21AA2EFF" w:rsidR="00F16BEC" w:rsidRPr="00F11B86" w:rsidRDefault="00F16BEC" w:rsidP="00266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9B617CE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86BCC64" w14:textId="77777777" w:rsidR="00D77184" w:rsidRDefault="00D77184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875F85B" w14:textId="77777777" w:rsidR="00D77184" w:rsidRDefault="00D77184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B2B2789" w14:textId="77777777" w:rsidR="003022E5" w:rsidRDefault="003022E5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BDFD7B8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228E67D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E2E9E43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3D94249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2DEDC8A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47C5C62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61889CC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9EB4451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362844F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E462573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5F308CE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4DEA361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951D0F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FBA951B" w14:textId="77777777" w:rsidR="00E87B8E" w:rsidRDefault="00E87B8E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4106E82" w14:textId="77777777" w:rsidR="00D95034" w:rsidRDefault="00D95034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547E3C" w14:textId="40B67E19" w:rsidR="00624D66" w:rsidRPr="00FC0F85" w:rsidRDefault="00D95034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TD/LB</w:t>
            </w:r>
          </w:p>
        </w:tc>
      </w:tr>
      <w:tr w:rsidR="00AC0873" w:rsidRPr="00FC0F85" w14:paraId="58829D41" w14:textId="77777777" w:rsidTr="00073C19">
        <w:trPr>
          <w:trHeight w:val="414"/>
        </w:trPr>
        <w:tc>
          <w:tcPr>
            <w:tcW w:w="851" w:type="dxa"/>
            <w:shd w:val="clear" w:color="auto" w:fill="FFFFFF"/>
          </w:tcPr>
          <w:p w14:paraId="0783DD1A" w14:textId="6731619C" w:rsidR="00AC0873" w:rsidRPr="00FC0F85" w:rsidRDefault="0082424C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C0873" w:rsidRPr="00FC0F8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68C5D2C9" w14:textId="21A8D3BD" w:rsidR="00AC0873" w:rsidRPr="00FC0F85" w:rsidRDefault="005B4199" w:rsidP="00AC08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Youthwork Review </w:t>
            </w:r>
          </w:p>
        </w:tc>
        <w:tc>
          <w:tcPr>
            <w:tcW w:w="992" w:type="dxa"/>
            <w:shd w:val="clear" w:color="auto" w:fill="FFFFFF"/>
          </w:tcPr>
          <w:p w14:paraId="08344689" w14:textId="77777777" w:rsidR="00AC0873" w:rsidRPr="00FC0F85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A85174D" w14:textId="77777777" w:rsidTr="00073C19">
        <w:trPr>
          <w:trHeight w:val="830"/>
        </w:trPr>
        <w:tc>
          <w:tcPr>
            <w:tcW w:w="851" w:type="dxa"/>
            <w:shd w:val="clear" w:color="auto" w:fill="FFFFFF"/>
          </w:tcPr>
          <w:p w14:paraId="25D7BC41" w14:textId="45D4D392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6C576598" w14:textId="77777777" w:rsidR="00EB752C" w:rsidRPr="00473E32" w:rsidRDefault="00EB752C" w:rsidP="00EB75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E49F355" w14:textId="553F79F7" w:rsidR="00F601E7" w:rsidRPr="00473E32" w:rsidRDefault="00473E32" w:rsidP="00EB75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73E32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Proposal document </w:t>
            </w:r>
          </w:p>
          <w:p w14:paraId="74222941" w14:textId="77777777" w:rsidR="00473E32" w:rsidRDefault="00473E32" w:rsidP="00EB75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6B7E1" w14:textId="0175023A" w:rsidR="0097590C" w:rsidRDefault="007A64F4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noted that the </w:t>
            </w:r>
            <w:r w:rsidR="00357980">
              <w:rPr>
                <w:rFonts w:ascii="Arial" w:hAnsi="Arial" w:cs="Arial"/>
                <w:bCs/>
                <w:sz w:val="20"/>
                <w:szCs w:val="20"/>
              </w:rPr>
              <w:t>proposal</w:t>
            </w:r>
            <w:r w:rsidR="00727FF9">
              <w:rPr>
                <w:rFonts w:ascii="Arial" w:hAnsi="Arial" w:cs="Arial"/>
                <w:bCs/>
                <w:sz w:val="20"/>
                <w:szCs w:val="20"/>
              </w:rPr>
              <w:t xml:space="preserve"> ha</w:t>
            </w:r>
            <w:r w:rsidR="0035798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27FF9">
              <w:rPr>
                <w:rFonts w:ascii="Arial" w:hAnsi="Arial" w:cs="Arial"/>
                <w:bCs/>
                <w:sz w:val="20"/>
                <w:szCs w:val="20"/>
              </w:rPr>
              <w:t xml:space="preserve"> more focus on </w:t>
            </w:r>
            <w:r w:rsidR="00C262E9">
              <w:rPr>
                <w:rFonts w:ascii="Arial" w:hAnsi="Arial" w:cs="Arial"/>
                <w:bCs/>
                <w:sz w:val="20"/>
                <w:szCs w:val="20"/>
              </w:rPr>
              <w:t>the consultation for the SVQ rather than consultation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 the framework</w:t>
            </w:r>
            <w:r w:rsidR="00C262E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0294A">
              <w:rPr>
                <w:rFonts w:ascii="Arial" w:hAnsi="Arial" w:cs="Arial"/>
                <w:bCs/>
                <w:sz w:val="20"/>
                <w:szCs w:val="20"/>
              </w:rPr>
              <w:t xml:space="preserve"> Members felt the </w:t>
            </w:r>
            <w:r w:rsidR="00F045FD">
              <w:rPr>
                <w:rFonts w:ascii="Arial" w:hAnsi="Arial" w:cs="Arial"/>
                <w:bCs/>
                <w:sz w:val="20"/>
                <w:szCs w:val="20"/>
              </w:rPr>
              <w:t>industry piece set the scene very well, however the information on statistics regarding the framework review was light.</w:t>
            </w:r>
            <w:r w:rsidR="000343C9">
              <w:rPr>
                <w:rFonts w:ascii="Arial" w:hAnsi="Arial" w:cs="Arial"/>
                <w:bCs/>
                <w:sz w:val="20"/>
                <w:szCs w:val="20"/>
              </w:rPr>
              <w:t xml:space="preserve"> As numbers are low, members felt that the proposal didn’t appropriately demonstrate the need for the framework.</w:t>
            </w:r>
          </w:p>
          <w:p w14:paraId="42172013" w14:textId="77777777" w:rsidR="00F045FD" w:rsidRDefault="00F045FD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1FE73" w14:textId="5C311371" w:rsidR="0089128B" w:rsidRDefault="0089128B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4E60AB">
              <w:rPr>
                <w:rFonts w:ascii="Arial" w:hAnsi="Arial" w:cs="Arial"/>
                <w:bCs/>
                <w:sz w:val="20"/>
                <w:szCs w:val="20"/>
              </w:rPr>
              <w:t xml:space="preserve">M confirmed that there are </w:t>
            </w:r>
            <w:r w:rsidR="0073564E">
              <w:rPr>
                <w:rFonts w:ascii="Arial" w:hAnsi="Arial" w:cs="Arial"/>
                <w:bCs/>
                <w:sz w:val="20"/>
                <w:szCs w:val="20"/>
              </w:rPr>
              <w:t>colleges</w:t>
            </w:r>
            <w:r w:rsidR="005158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54D7">
              <w:rPr>
                <w:rFonts w:ascii="Arial" w:hAnsi="Arial" w:cs="Arial"/>
                <w:bCs/>
                <w:sz w:val="20"/>
                <w:szCs w:val="20"/>
              </w:rPr>
              <w:t xml:space="preserve">eager and waiting to get apprentices started on this framework. </w:t>
            </w:r>
            <w:proofErr w:type="spellStart"/>
            <w:r w:rsidR="000354D7">
              <w:rPr>
                <w:rFonts w:ascii="Arial" w:hAnsi="Arial" w:cs="Arial"/>
                <w:bCs/>
                <w:sz w:val="20"/>
                <w:szCs w:val="20"/>
              </w:rPr>
              <w:t>NCo</w:t>
            </w:r>
            <w:proofErr w:type="spellEnd"/>
            <w:r w:rsidR="000354D7">
              <w:rPr>
                <w:rFonts w:ascii="Arial" w:hAnsi="Arial" w:cs="Arial"/>
                <w:bCs/>
                <w:sz w:val="20"/>
                <w:szCs w:val="20"/>
              </w:rPr>
              <w:t xml:space="preserve"> added that there have been several enquiries </w:t>
            </w:r>
            <w:r w:rsidR="00524024">
              <w:rPr>
                <w:rFonts w:ascii="Arial" w:hAnsi="Arial" w:cs="Arial"/>
                <w:bCs/>
                <w:sz w:val="20"/>
                <w:szCs w:val="20"/>
              </w:rPr>
              <w:t>from Training Providers waiting for the framework to go live</w:t>
            </w:r>
            <w:r w:rsidR="000343C9">
              <w:rPr>
                <w:rFonts w:ascii="Arial" w:hAnsi="Arial" w:cs="Arial"/>
                <w:bCs/>
                <w:sz w:val="20"/>
                <w:szCs w:val="20"/>
              </w:rPr>
              <w:t xml:space="preserve"> and that there </w:t>
            </w:r>
            <w:r w:rsidR="00D95300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="007048D3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="00D95300">
              <w:rPr>
                <w:rFonts w:ascii="Arial" w:hAnsi="Arial" w:cs="Arial"/>
                <w:bCs/>
                <w:sz w:val="20"/>
                <w:szCs w:val="20"/>
              </w:rPr>
              <w:t xml:space="preserve"> appetite for this provision. </w:t>
            </w:r>
          </w:p>
          <w:p w14:paraId="3868C86B" w14:textId="77777777" w:rsidR="006522B2" w:rsidRDefault="006522B2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F9EB06" w14:textId="1AAAA443" w:rsidR="006522B2" w:rsidRDefault="006522B2" w:rsidP="006522B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NCr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added that this will be a vital framework in terms of learner pathways and progression in the work being done for the Education Reform. </w:t>
            </w:r>
          </w:p>
          <w:p w14:paraId="1D052F72" w14:textId="77777777" w:rsidR="006522B2" w:rsidRDefault="006522B2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0991AC" w14:textId="290B932C" w:rsidR="0089128B" w:rsidRDefault="00206A01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provided background for the submission, explaining th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at the original review of the SVQ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564E">
              <w:rPr>
                <w:rFonts w:ascii="Arial" w:hAnsi="Arial" w:cs="Arial"/>
                <w:bCs/>
                <w:sz w:val="20"/>
                <w:szCs w:val="20"/>
              </w:rPr>
              <w:t xml:space="preserve">resulted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 xml:space="preserve">in the 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SCQF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evel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5 and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 SCQF Level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6 coming out a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t SCQF Level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 xml:space="preserve">6 and 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SCQF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177385">
              <w:rPr>
                <w:rFonts w:ascii="Arial" w:hAnsi="Arial" w:cs="Arial"/>
                <w:bCs/>
                <w:sz w:val="20"/>
                <w:szCs w:val="20"/>
              </w:rPr>
              <w:t xml:space="preserve">evel </w:t>
            </w:r>
            <w:r w:rsidR="002C728D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D9530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30E77">
              <w:rPr>
                <w:rFonts w:ascii="Arial" w:hAnsi="Arial" w:cs="Arial"/>
                <w:bCs/>
                <w:sz w:val="20"/>
                <w:szCs w:val="20"/>
              </w:rPr>
              <w:t>The developer was</w:t>
            </w:r>
            <w:r w:rsidR="00D95300">
              <w:rPr>
                <w:rFonts w:ascii="Arial" w:hAnsi="Arial" w:cs="Arial"/>
                <w:bCs/>
                <w:sz w:val="20"/>
                <w:szCs w:val="20"/>
              </w:rPr>
              <w:t xml:space="preserve"> then requested to review the framework</w:t>
            </w:r>
            <w:r w:rsidR="00102EB1">
              <w:rPr>
                <w:rFonts w:ascii="Arial" w:hAnsi="Arial" w:cs="Arial"/>
                <w:bCs/>
                <w:sz w:val="20"/>
                <w:szCs w:val="20"/>
              </w:rPr>
              <w:t xml:space="preserve">, and as this was not funded has been </w:t>
            </w:r>
            <w:r w:rsidR="008D7AF9">
              <w:rPr>
                <w:rFonts w:ascii="Arial" w:hAnsi="Arial" w:cs="Arial"/>
                <w:bCs/>
                <w:sz w:val="20"/>
                <w:szCs w:val="20"/>
              </w:rPr>
              <w:t xml:space="preserve">continuously </w:t>
            </w:r>
            <w:r w:rsidR="00102EB1">
              <w:rPr>
                <w:rFonts w:ascii="Arial" w:hAnsi="Arial" w:cs="Arial"/>
                <w:bCs/>
                <w:sz w:val="20"/>
                <w:szCs w:val="20"/>
              </w:rPr>
              <w:t>delayed due to pressures on resource.</w:t>
            </w:r>
          </w:p>
          <w:p w14:paraId="3EBF13D3" w14:textId="77777777" w:rsidR="00154DDE" w:rsidRDefault="00154DDE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23491" w14:textId="6F7F4052" w:rsidR="00F45B4E" w:rsidRPr="00BA04BA" w:rsidRDefault="00F45B4E" w:rsidP="002666EB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A04B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Framework documents </w:t>
            </w:r>
          </w:p>
          <w:p w14:paraId="2C751C5B" w14:textId="77777777" w:rsidR="00EB266C" w:rsidRDefault="00EB266C" w:rsidP="00EB26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8EAB0" w14:textId="4860B906" w:rsidR="00390391" w:rsidRDefault="00EB266C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Members </w:t>
            </w:r>
            <w:r w:rsidR="007A697D">
              <w:rPr>
                <w:rFonts w:ascii="Arial" w:hAnsi="Arial" w:cs="Arial"/>
                <w:bCs/>
                <w:sz w:val="20"/>
                <w:szCs w:val="20"/>
              </w:rPr>
              <w:t>noted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that the e</w:t>
            </w:r>
            <w:r w:rsidR="00F45B4E" w:rsidRPr="00EB266C">
              <w:rPr>
                <w:rFonts w:ascii="Arial" w:hAnsi="Arial" w:cs="Arial"/>
                <w:bCs/>
                <w:sz w:val="20"/>
                <w:szCs w:val="20"/>
              </w:rPr>
              <w:t>nhancements</w:t>
            </w:r>
            <w:r w:rsidR="007A697D">
              <w:rPr>
                <w:rFonts w:ascii="Arial" w:hAnsi="Arial" w:cs="Arial"/>
                <w:bCs/>
                <w:sz w:val="20"/>
                <w:szCs w:val="20"/>
              </w:rPr>
              <w:t xml:space="preserve"> listed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</w:t>
            </w:r>
            <w:r w:rsidR="00390391" w:rsidRPr="00EB266C">
              <w:rPr>
                <w:rFonts w:ascii="Arial" w:hAnsi="Arial" w:cs="Arial"/>
                <w:bCs/>
                <w:sz w:val="20"/>
                <w:szCs w:val="20"/>
              </w:rPr>
              <w:t xml:space="preserve"> both levels are identical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and felt it was appropriate to have distinction between the </w:t>
            </w:r>
            <w:r w:rsidR="00AA52FF">
              <w:rPr>
                <w:rFonts w:ascii="Arial" w:hAnsi="Arial" w:cs="Arial"/>
                <w:bCs/>
                <w:sz w:val="20"/>
                <w:szCs w:val="20"/>
              </w:rPr>
              <w:t xml:space="preserve">two frameworks. It was also noted that </w:t>
            </w:r>
            <w:r w:rsidR="00390391" w:rsidRPr="00AA52FF">
              <w:rPr>
                <w:rFonts w:ascii="Arial" w:hAnsi="Arial" w:cs="Arial"/>
                <w:bCs/>
                <w:sz w:val="20"/>
                <w:szCs w:val="20"/>
              </w:rPr>
              <w:t>Emergency First Aid</w:t>
            </w:r>
            <w:r w:rsidR="0058638F">
              <w:rPr>
                <w:rFonts w:ascii="Arial" w:hAnsi="Arial" w:cs="Arial"/>
                <w:bCs/>
                <w:sz w:val="20"/>
                <w:szCs w:val="20"/>
              </w:rPr>
              <w:t xml:space="preserve"> at Wor</w:t>
            </w:r>
            <w:r w:rsidR="00F31A7C">
              <w:rPr>
                <w:rFonts w:ascii="Arial" w:hAnsi="Arial" w:cs="Arial"/>
                <w:bCs/>
                <w:sz w:val="20"/>
                <w:szCs w:val="20"/>
              </w:rPr>
              <w:t>k isn’t</w:t>
            </w:r>
            <w:r w:rsidR="00AA52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1A7C">
              <w:rPr>
                <w:rFonts w:ascii="Arial" w:hAnsi="Arial" w:cs="Arial"/>
                <w:bCs/>
                <w:sz w:val="20"/>
                <w:szCs w:val="20"/>
              </w:rPr>
              <w:t xml:space="preserve">only an </w:t>
            </w:r>
            <w:r w:rsidR="00390391" w:rsidRPr="00AA52FF">
              <w:rPr>
                <w:rFonts w:ascii="Arial" w:hAnsi="Arial" w:cs="Arial"/>
                <w:bCs/>
                <w:sz w:val="20"/>
                <w:szCs w:val="20"/>
              </w:rPr>
              <w:t>SQA offer</w:t>
            </w:r>
            <w:r w:rsidR="00C30BAB" w:rsidRPr="00AA52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AA52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638F">
              <w:rPr>
                <w:rFonts w:ascii="Arial" w:hAnsi="Arial" w:cs="Arial"/>
                <w:bCs/>
                <w:sz w:val="20"/>
                <w:szCs w:val="20"/>
              </w:rPr>
              <w:t>therefore</w:t>
            </w:r>
            <w:r w:rsidR="008B3FDA" w:rsidRPr="00AA52FF">
              <w:rPr>
                <w:rFonts w:ascii="Arial" w:hAnsi="Arial" w:cs="Arial"/>
                <w:bCs/>
                <w:sz w:val="20"/>
                <w:szCs w:val="20"/>
              </w:rPr>
              <w:t xml:space="preserve"> all codes need to be present</w:t>
            </w:r>
            <w:r w:rsidR="00AA52FF">
              <w:rPr>
                <w:rFonts w:ascii="Arial" w:hAnsi="Arial" w:cs="Arial"/>
                <w:bCs/>
                <w:sz w:val="20"/>
                <w:szCs w:val="20"/>
              </w:rPr>
              <w:t xml:space="preserve">. Members felt it would be beneficial </w:t>
            </w:r>
            <w:r w:rsidR="00D736CC">
              <w:rPr>
                <w:rFonts w:ascii="Arial" w:hAnsi="Arial" w:cs="Arial"/>
                <w:bCs/>
                <w:sz w:val="20"/>
                <w:szCs w:val="20"/>
              </w:rPr>
              <w:t xml:space="preserve">to have a </w:t>
            </w:r>
            <w:r w:rsidR="00C30BAB">
              <w:rPr>
                <w:rFonts w:ascii="Arial" w:hAnsi="Arial" w:cs="Arial"/>
                <w:bCs/>
                <w:sz w:val="20"/>
                <w:szCs w:val="20"/>
              </w:rPr>
              <w:t>clear statement</w:t>
            </w:r>
            <w:r w:rsidR="00D736CC">
              <w:rPr>
                <w:rFonts w:ascii="Arial" w:hAnsi="Arial" w:cs="Arial"/>
                <w:bCs/>
                <w:sz w:val="20"/>
                <w:szCs w:val="20"/>
              </w:rPr>
              <w:t xml:space="preserve"> on the enhancements clarifying that </w:t>
            </w:r>
            <w:r w:rsidR="00C30BAB">
              <w:rPr>
                <w:rFonts w:ascii="Arial" w:hAnsi="Arial" w:cs="Arial"/>
                <w:bCs/>
                <w:sz w:val="20"/>
                <w:szCs w:val="20"/>
              </w:rPr>
              <w:t xml:space="preserve">one is mandatory. </w:t>
            </w:r>
          </w:p>
          <w:p w14:paraId="029ABCA0" w14:textId="0542E60C" w:rsidR="007953BE" w:rsidRDefault="007953BE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038EDA" w14:textId="77777777" w:rsidR="00993D5E" w:rsidRDefault="007953BE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SD identified some </w:t>
            </w:r>
            <w:r w:rsidR="00F31A7C">
              <w:rPr>
                <w:rFonts w:ascii="Arial" w:hAnsi="Arial" w:cs="Arial"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errors</w:t>
            </w:r>
            <w:r w:rsidR="00904E4A">
              <w:rPr>
                <w:rFonts w:ascii="Arial" w:hAnsi="Arial" w:cs="Arial"/>
                <w:bCs/>
                <w:sz w:val="20"/>
                <w:szCs w:val="20"/>
              </w:rPr>
              <w:t xml:space="preserve"> in the titles on the </w:t>
            </w:r>
            <w:r w:rsidR="00465E71">
              <w:rPr>
                <w:rFonts w:ascii="Arial" w:hAnsi="Arial" w:cs="Arial"/>
                <w:bCs/>
                <w:sz w:val="20"/>
                <w:szCs w:val="20"/>
              </w:rPr>
              <w:t>enhancement</w:t>
            </w:r>
            <w:r w:rsidR="00904E4A">
              <w:rPr>
                <w:rFonts w:ascii="Arial" w:hAnsi="Arial" w:cs="Arial"/>
                <w:bCs/>
                <w:sz w:val="20"/>
                <w:szCs w:val="20"/>
              </w:rPr>
              <w:t xml:space="preserve"> offer. </w:t>
            </w:r>
          </w:p>
          <w:p w14:paraId="2FB665D8" w14:textId="77777777" w:rsidR="00993D5E" w:rsidRDefault="00993D5E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B144D" w14:textId="77777777" w:rsidR="00993D5E" w:rsidRPr="0064481D" w:rsidRDefault="00904E4A" w:rsidP="00AA52F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448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SD will send </w:t>
            </w:r>
            <w:r w:rsidR="00465E71" w:rsidRPr="006448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 list with the correct titles over to </w:t>
            </w:r>
            <w:proofErr w:type="spellStart"/>
            <w:r w:rsidR="00465E71" w:rsidRPr="006448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NCo</w:t>
            </w:r>
            <w:proofErr w:type="spellEnd"/>
            <w:r w:rsidR="00465E71" w:rsidRPr="006448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64FB351C" w14:textId="77777777" w:rsidR="00993D5E" w:rsidRDefault="00993D5E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801C5F" w14:textId="54A2E038" w:rsidR="007953BE" w:rsidRDefault="00F31A7C" w:rsidP="00AA52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help future proof the document members </w:t>
            </w:r>
            <w:r w:rsidR="009667CE">
              <w:rPr>
                <w:rFonts w:ascii="Arial" w:hAnsi="Arial" w:cs="Arial"/>
                <w:bCs/>
                <w:sz w:val="20"/>
                <w:szCs w:val="20"/>
              </w:rPr>
              <w:t xml:space="preserve">suggested taking the list of current training providers out and replacing with a link </w:t>
            </w:r>
            <w:r w:rsidR="00235947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47105F">
              <w:rPr>
                <w:rFonts w:ascii="Arial" w:hAnsi="Arial" w:cs="Arial"/>
                <w:bCs/>
                <w:sz w:val="20"/>
                <w:szCs w:val="20"/>
              </w:rPr>
              <w:t>a relevant site which will show this information.</w:t>
            </w:r>
          </w:p>
          <w:p w14:paraId="5C3F6BC0" w14:textId="77777777" w:rsidR="009D0046" w:rsidRPr="005F5CA8" w:rsidRDefault="009D0046" w:rsidP="00AA52F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F916B65" w14:textId="7C4BEFEB" w:rsidR="009D0046" w:rsidRPr="005F5CA8" w:rsidRDefault="005F5CA8" w:rsidP="00AA52F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F5CA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CF and </w:t>
            </w:r>
            <w:r w:rsidRPr="005F5CA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TD </w:t>
            </w:r>
            <w:r w:rsidRPr="005F5CA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to have a discussion re. guidance/communication to ensure a common approach to development and governance of all developed apprenticeships to ensure consistency of approach and quality</w:t>
            </w:r>
          </w:p>
          <w:p w14:paraId="1BA49A97" w14:textId="77777777" w:rsidR="00742866" w:rsidRDefault="00742866" w:rsidP="000C04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FC62B" w14:textId="7B83E148" w:rsidR="00C61C7F" w:rsidRDefault="00742866" w:rsidP="000C04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05F">
              <w:rPr>
                <w:rFonts w:ascii="Arial" w:hAnsi="Arial" w:cs="Arial"/>
                <w:b/>
                <w:sz w:val="20"/>
                <w:szCs w:val="20"/>
              </w:rPr>
              <w:lastRenderedPageBreak/>
              <w:t>Due to the concerns surrounding th</w:t>
            </w:r>
            <w:r w:rsidR="00DB2872" w:rsidRPr="0047105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7105F">
              <w:rPr>
                <w:rFonts w:ascii="Arial" w:hAnsi="Arial" w:cs="Arial"/>
                <w:b/>
                <w:sz w:val="20"/>
                <w:szCs w:val="20"/>
              </w:rPr>
              <w:t xml:space="preserve"> enhancements members felt it would be appropriate </w:t>
            </w:r>
            <w:r w:rsidR="00DB2872" w:rsidRPr="0047105F">
              <w:rPr>
                <w:rFonts w:ascii="Arial" w:hAnsi="Arial" w:cs="Arial"/>
                <w:b/>
                <w:sz w:val="20"/>
                <w:szCs w:val="20"/>
              </w:rPr>
              <w:t xml:space="preserve">to bring the frameworks back to </w:t>
            </w:r>
            <w:r w:rsidR="000354D7" w:rsidRPr="0047105F">
              <w:rPr>
                <w:rFonts w:ascii="Arial" w:hAnsi="Arial" w:cs="Arial"/>
                <w:b/>
                <w:sz w:val="20"/>
                <w:szCs w:val="20"/>
              </w:rPr>
              <w:t>AAG in June</w:t>
            </w:r>
            <w:r w:rsidR="0047105F">
              <w:rPr>
                <w:rFonts w:ascii="Arial" w:hAnsi="Arial" w:cs="Arial"/>
                <w:b/>
                <w:sz w:val="20"/>
                <w:szCs w:val="20"/>
              </w:rPr>
              <w:t xml:space="preserve"> for a final review</w:t>
            </w:r>
            <w:r w:rsidR="00F20C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35398DD" w14:textId="77777777" w:rsidR="00C61C7F" w:rsidRPr="0047105F" w:rsidRDefault="00C61C7F" w:rsidP="000C04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EA164" w14:textId="4C38EBE8" w:rsidR="00154DDE" w:rsidRPr="00EB752C" w:rsidRDefault="00154DDE" w:rsidP="002666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849ECF" w14:textId="770609B5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751749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83F250E" w14:textId="77777777" w:rsidR="00C11B13" w:rsidRDefault="00C11B1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48A30AA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87DCC6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A324DB0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BF6B5FF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91B308D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3596839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34D9281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9DC465A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4E68421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AB2689D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726F581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B1ABBEC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ABA7FA5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B1E4DF2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35FF6E0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1805D13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A8FB01F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F004564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B3DACBE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90A19DF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84AEB0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DEF8415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627BC44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FB564E4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382593E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B29A8E6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7A31356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906AE97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2AA6506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A5C4DAC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4151321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A68A65C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3CAA531" w14:textId="77777777" w:rsidR="005F5CA8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FF23917" w14:textId="690A6D4C" w:rsidR="005F5CA8" w:rsidRPr="00FC0F85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TD/CF</w:t>
            </w:r>
          </w:p>
        </w:tc>
      </w:tr>
      <w:tr w:rsidR="00FF4F38" w:rsidRPr="00FC0F85" w14:paraId="1E092AB7" w14:textId="77777777" w:rsidTr="00073C19">
        <w:trPr>
          <w:trHeight w:val="353"/>
        </w:trPr>
        <w:tc>
          <w:tcPr>
            <w:tcW w:w="851" w:type="dxa"/>
            <w:shd w:val="clear" w:color="auto" w:fill="FFFFFF"/>
          </w:tcPr>
          <w:p w14:paraId="1E9D16C3" w14:textId="19CB1F06" w:rsidR="00FF4F38" w:rsidRDefault="0058471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F4F3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97" w:type="dxa"/>
            <w:shd w:val="clear" w:color="auto" w:fill="FFFFFF"/>
          </w:tcPr>
          <w:p w14:paraId="0B7EF46F" w14:textId="04AC48B5" w:rsidR="00FF4F38" w:rsidRPr="00FF4F38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SVQ/CBQ Alignment </w:t>
            </w:r>
          </w:p>
        </w:tc>
        <w:tc>
          <w:tcPr>
            <w:tcW w:w="992" w:type="dxa"/>
            <w:shd w:val="clear" w:color="auto" w:fill="FFFFFF"/>
          </w:tcPr>
          <w:p w14:paraId="207405A4" w14:textId="77777777" w:rsidR="00FF4F38" w:rsidRPr="00FC0F85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FF4F38" w:rsidRPr="00FC0F85" w14:paraId="19A00F03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60B8628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621CDC7" w14:textId="6ADBC53E" w:rsidR="0074789B" w:rsidRDefault="00FC459E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T</w:t>
            </w:r>
            <w:r w:rsidR="00086EA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he SVQ for </w:t>
            </w:r>
            <w:r w:rsidR="00D3239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Digital Marketin</w:t>
            </w:r>
            <w:r w:rsidR="00086EA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g</w:t>
            </w:r>
            <w:r w:rsidR="00D43E7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86EA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was</w:t>
            </w:r>
            <w:r w:rsidR="00D43E7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recently </w:t>
            </w:r>
            <w:r w:rsidR="00D43E7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reviewed and </w:t>
            </w:r>
            <w:r w:rsidR="00086EA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came out </w:t>
            </w:r>
            <w:r w:rsidR="00D43E7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as a SCQF Level 7</w:t>
            </w:r>
            <w:r w:rsidR="007B544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. Previously this SVQ </w:t>
            </w:r>
            <w:r w:rsidR="00406E4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had sat </w:t>
            </w:r>
            <w:r w:rsidR="007B544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at SCQF Level 6, which aligned with the current M</w:t>
            </w:r>
            <w:r w:rsidR="0074789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odern </w:t>
            </w:r>
            <w:r w:rsidR="007B544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</w:t>
            </w:r>
            <w:r w:rsidR="0074789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pprenticeship</w:t>
            </w:r>
            <w:r w:rsidR="007B544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in Digital Marketing at SCQF Level 6. </w:t>
            </w:r>
            <w:r w:rsidR="005709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This</w:t>
            </w:r>
            <w:r w:rsidR="009C6B2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change of SCQF Level following a review of the SVQ</w:t>
            </w:r>
            <w:r w:rsidR="005709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has also been seen</w:t>
            </w:r>
            <w:r w:rsidR="002646E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with the Youthwork Frameworks</w:t>
            </w:r>
            <w:r w:rsidR="00372F4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0B58801F" w14:textId="5876BC1C" w:rsidR="007B5449" w:rsidRDefault="0074789B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As there is the potential for this to occur in the future, </w:t>
            </w:r>
            <w:r w:rsidR="0048544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RJ felt it would be beneficial to bring this to AAG as an </w:t>
            </w:r>
            <w:r w:rsidR="007350D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inform</w:t>
            </w:r>
            <w:r w:rsidR="00405BB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784F89C7" w14:textId="61A7642B" w:rsidR="00C11B13" w:rsidRDefault="009D707A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GB </w:t>
            </w:r>
            <w:r w:rsidR="006F735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and SD </w:t>
            </w:r>
            <w:r w:rsidR="00405BB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provided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an </w:t>
            </w:r>
            <w:r w:rsidR="007350D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overview on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22D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how SVQs are credit rated and allocated SCQF </w:t>
            </w:r>
            <w:r w:rsidR="00B40B8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Levels and</w:t>
            </w:r>
            <w:r w:rsidR="00F724E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40B8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explained </w:t>
            </w:r>
            <w:r w:rsidR="00F724E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how </w:t>
            </w:r>
            <w:r w:rsidR="0074227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this plays into</w:t>
            </w:r>
            <w:r w:rsidR="00B40B8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the SVQ review process.</w:t>
            </w:r>
            <w:r w:rsidR="007A451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146A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GB and SD clarified that </w:t>
            </w:r>
            <w:r w:rsidR="00DC7492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units</w:t>
            </w:r>
            <w:r w:rsidR="005146A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within an SVQ </w:t>
            </w:r>
            <w:r w:rsidR="007350D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don’t need to</w:t>
            </w:r>
            <w:r w:rsidR="0074227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all sit at the same</w:t>
            </w:r>
            <w:r w:rsidR="00713AE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SCQF Level, and that the</w:t>
            </w:r>
            <w:r w:rsidR="000F661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level of the SVQ </w:t>
            </w:r>
            <w:r w:rsidR="00713AE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is allocated</w:t>
            </w:r>
            <w:r w:rsidR="003C008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based on the overall content and competence </w:t>
            </w:r>
            <w:r w:rsidR="005709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within the qualification. </w:t>
            </w:r>
            <w:r w:rsidR="00FC459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A9C4A5" w14:textId="7C561707" w:rsidR="00C11B13" w:rsidRPr="00CB49E0" w:rsidRDefault="00713AEC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felt that this was a helpful </w:t>
            </w:r>
            <w:r w:rsidR="00D20F6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awareness piece and </w:t>
            </w:r>
            <w:r w:rsidR="005709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agreed </w:t>
            </w:r>
            <w:r w:rsidR="00D20F6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it would be beneficial to ensure TEG members </w:t>
            </w:r>
            <w:r w:rsidR="005709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continue to develop knowledge and awareness in this space.</w:t>
            </w:r>
            <w:r w:rsidR="005146A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3E6844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E9A65D" w14:textId="5B190B73" w:rsidR="000D4A42" w:rsidRPr="00FC0F85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5B4199" w:rsidRPr="00FC0F85" w14:paraId="1DCE9BC9" w14:textId="77777777" w:rsidTr="00F20C80">
        <w:trPr>
          <w:trHeight w:val="378"/>
        </w:trPr>
        <w:tc>
          <w:tcPr>
            <w:tcW w:w="851" w:type="dxa"/>
            <w:shd w:val="clear" w:color="auto" w:fill="FFFFFF"/>
          </w:tcPr>
          <w:p w14:paraId="5F62BAE2" w14:textId="6A3C213C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7797" w:type="dxa"/>
            <w:shd w:val="clear" w:color="auto" w:fill="FFFFFF"/>
          </w:tcPr>
          <w:p w14:paraId="69A866F0" w14:textId="132258D1" w:rsidR="005B4199" w:rsidRPr="005B4199" w:rsidRDefault="005B4199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57F8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Core Skills Statement </w:t>
            </w:r>
          </w:p>
        </w:tc>
        <w:tc>
          <w:tcPr>
            <w:tcW w:w="992" w:type="dxa"/>
            <w:shd w:val="clear" w:color="auto" w:fill="FFFFFF"/>
          </w:tcPr>
          <w:p w14:paraId="7C81E22C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5B4199" w:rsidRPr="00FC0F85" w14:paraId="34DEF39D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3FE98CA2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46834574" w14:textId="4F59E8A6" w:rsidR="0079400B" w:rsidRDefault="0079400B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TD and </w:t>
            </w: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NCo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81D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shared a draft of </w:t>
            </w:r>
            <w:r w:rsidR="00896B0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the three</w:t>
            </w:r>
            <w:r w:rsidR="00C7541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standard</w:t>
            </w:r>
            <w:r w:rsidR="00896B0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statements on Core Skills which have been added into the Framework document template. </w:t>
            </w:r>
          </w:p>
          <w:p w14:paraId="34C1018C" w14:textId="4EA2340B" w:rsidR="0079400B" w:rsidRDefault="00896B09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Members provided feedback</w:t>
            </w:r>
          </w:p>
          <w:p w14:paraId="776B15C3" w14:textId="3AA940A3" w:rsidR="005B4199" w:rsidRPr="0030793A" w:rsidRDefault="0030793A" w:rsidP="0030793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 small introduction to the Core Skills section would be beneficial </w:t>
            </w:r>
          </w:p>
          <w:p w14:paraId="6301553C" w14:textId="67C2F79E" w:rsidR="001001CC" w:rsidRPr="0030793A" w:rsidRDefault="0030793A" w:rsidP="0030793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The Core Skills section should </w:t>
            </w:r>
            <w:r w:rsidR="003A462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align with the information on Core Skills which is currently </w:t>
            </w:r>
            <w:r w:rsidR="009479C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under</w:t>
            </w:r>
            <w:r w:rsidR="00C7541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the Qualification section of the document. </w:t>
            </w:r>
          </w:p>
          <w:p w14:paraId="7DC4E649" w14:textId="4A3D8AD0" w:rsidR="001001CC" w:rsidRDefault="001001CC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F22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NCo</w:t>
            </w:r>
            <w:proofErr w:type="spellEnd"/>
            <w:r w:rsidRPr="00387F22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will circulate draft with amendments and members can provide feedback in advance of the next meeting for the group to sign off.</w:t>
            </w:r>
          </w:p>
        </w:tc>
        <w:tc>
          <w:tcPr>
            <w:tcW w:w="992" w:type="dxa"/>
            <w:shd w:val="clear" w:color="auto" w:fill="FFFFFF"/>
          </w:tcPr>
          <w:p w14:paraId="3010756E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CDB325C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B4ECAB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FB12BE0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F4F5874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EB069D9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EDA65FD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9AA5810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5C36AA5" w14:textId="5D56B2C1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</w:tc>
      </w:tr>
      <w:tr w:rsidR="005B4199" w:rsidRPr="00FC0F85" w14:paraId="4009A9E1" w14:textId="77777777" w:rsidTr="00FA4652">
        <w:trPr>
          <w:trHeight w:val="494"/>
        </w:trPr>
        <w:tc>
          <w:tcPr>
            <w:tcW w:w="851" w:type="dxa"/>
            <w:shd w:val="clear" w:color="auto" w:fill="FFFFFF"/>
          </w:tcPr>
          <w:p w14:paraId="1AB8EEB8" w14:textId="4BC0F9EC" w:rsidR="005B4199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797" w:type="dxa"/>
            <w:shd w:val="clear" w:color="auto" w:fill="FFFFFF"/>
          </w:tcPr>
          <w:p w14:paraId="43AAD1D3" w14:textId="41BA0D8A" w:rsidR="005B4199" w:rsidRDefault="00B57F8C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Agenda for face-to-face meeting </w:t>
            </w:r>
          </w:p>
        </w:tc>
        <w:tc>
          <w:tcPr>
            <w:tcW w:w="992" w:type="dxa"/>
            <w:shd w:val="clear" w:color="auto" w:fill="FFFFFF"/>
          </w:tcPr>
          <w:p w14:paraId="0B406259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5B4199" w:rsidRPr="00FC0F85" w14:paraId="62BD3528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2B5F7896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019CA883" w14:textId="13E1297B" w:rsidR="001001CC" w:rsidRDefault="0070717F" w:rsidP="001001CC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NCo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has </w:t>
            </w:r>
            <w:r w:rsidR="001001C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booked</w:t>
            </w:r>
            <w:r w:rsidR="00C5315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 meeting space</w:t>
            </w:r>
            <w:r w:rsidR="001001CC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in Monteith House in SDS office in George Square.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27D015F" w14:textId="5C701D67" w:rsidR="001001CC" w:rsidRDefault="00C7541B" w:rsidP="001001CC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discussed potential agenda items for the June meeting. </w:t>
            </w:r>
          </w:p>
          <w:p w14:paraId="44A12C4A" w14:textId="5AB336EB" w:rsidR="001001CC" w:rsidRDefault="001001CC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Ways of working </w:t>
            </w:r>
            <w:r w:rsidR="00C90331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– what has worked well, </w:t>
            </w:r>
            <w:r w:rsidR="00DC0C9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what hasn’t worked well</w:t>
            </w:r>
          </w:p>
          <w:p w14:paraId="5FFFC3E3" w14:textId="7DBC5A98" w:rsidR="001001CC" w:rsidRDefault="00943F8D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Spotlight sessions on</w:t>
            </w:r>
            <w:r w:rsidR="00DE7BF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key pieces of wo</w:t>
            </w:r>
            <w:r w:rsidR="00FC258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rk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961E2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NCr</w:t>
            </w:r>
            <w:proofErr w:type="spellEnd"/>
            <w:r w:rsidR="00FC258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961E2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CF</w:t>
            </w:r>
            <w:r w:rsidR="006E21A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and </w:t>
            </w:r>
            <w:r w:rsidR="00FC258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AE</w:t>
            </w:r>
            <w:r w:rsidR="006053A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61E2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will assist in facilitating</w:t>
            </w:r>
            <w:r w:rsidR="00F528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92593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Hayward review, </w:t>
            </w:r>
            <w:r w:rsidR="00F528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W</w:t>
            </w:r>
            <w:r w:rsidR="0092593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ithers review, Tertiary Educatio</w:t>
            </w:r>
            <w:r w:rsidR="00F5286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n)</w:t>
            </w:r>
          </w:p>
          <w:p w14:paraId="746F6AA7" w14:textId="3FF274B8" w:rsidR="003E12ED" w:rsidRDefault="00943F8D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</w:t>
            </w:r>
            <w:r w:rsidR="003A66C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ational Occupational Standards </w:t>
            </w:r>
            <w:r w:rsidR="000600E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–</w:t>
            </w:r>
            <w:r w:rsidR="003A66C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600E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CF and Frank Quinn from SDS will </w:t>
            </w:r>
            <w:r w:rsidR="000E78E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present on this</w:t>
            </w:r>
          </w:p>
          <w:p w14:paraId="285AE28B" w14:textId="71DAE143" w:rsidR="003E12ED" w:rsidRDefault="003E12ED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Revisiting Terms of Reference </w:t>
            </w:r>
          </w:p>
          <w:p w14:paraId="3A5DD58E" w14:textId="7DD05C29" w:rsidR="000E78E5" w:rsidRDefault="000E78E5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FAQs </w:t>
            </w:r>
          </w:p>
          <w:p w14:paraId="05B4641D" w14:textId="4469A09A" w:rsidR="000E78E5" w:rsidRDefault="000E78E5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Preparation for the End of Year report </w:t>
            </w:r>
          </w:p>
          <w:p w14:paraId="39F07E72" w14:textId="3D178124" w:rsidR="00E35210" w:rsidRDefault="00740C1A" w:rsidP="00C7541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Stage Gate approach to AAG Governance </w:t>
            </w:r>
            <w:r w:rsidR="00F7720B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– sign off </w:t>
            </w:r>
          </w:p>
          <w:p w14:paraId="516C401F" w14:textId="45C281A4" w:rsidR="005B3987" w:rsidRPr="005B3987" w:rsidRDefault="005B3987" w:rsidP="00742FBC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B398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suggested inviting a TEG chair/member along to share their experiences. TD and </w:t>
            </w:r>
            <w:proofErr w:type="spellStart"/>
            <w:r w:rsidRPr="005B398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NCo</w:t>
            </w:r>
            <w:proofErr w:type="spellEnd"/>
            <w:r w:rsidRPr="005B398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will explore this possibility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5BE81AE" w14:textId="40E4C8EB" w:rsidR="00742FBC" w:rsidRPr="005B3987" w:rsidRDefault="00742FBC" w:rsidP="00742FBC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5B3987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NC</w:t>
            </w:r>
            <w:r w:rsidR="008061E3" w:rsidRPr="005B3987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o</w:t>
            </w:r>
            <w:proofErr w:type="spellEnd"/>
            <w:r w:rsidRPr="005B3987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to put some time in the diary </w:t>
            </w:r>
            <w:r w:rsidR="00617333" w:rsidRPr="005B3987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with RJ to finalise agenda</w:t>
            </w:r>
            <w:r w:rsidR="00006BE7" w:rsidRPr="005B3987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  <w:p w14:paraId="08A1CB11" w14:textId="2FAB7970" w:rsidR="003E12ED" w:rsidRPr="003E12ED" w:rsidRDefault="003E12ED" w:rsidP="003E12ED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Members agreed that spotlight sessions will be circulated as pre-read to allow the sessions within the meeting to be predominantly Q&amp;A</w:t>
            </w:r>
          </w:p>
        </w:tc>
        <w:tc>
          <w:tcPr>
            <w:tcW w:w="992" w:type="dxa"/>
            <w:shd w:val="clear" w:color="auto" w:fill="FFFFFF"/>
          </w:tcPr>
          <w:p w14:paraId="41F803F9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B57F8C" w:rsidRPr="00FC0F85" w14:paraId="1A360DCE" w14:textId="77777777" w:rsidTr="00FA4652">
        <w:trPr>
          <w:trHeight w:val="489"/>
        </w:trPr>
        <w:tc>
          <w:tcPr>
            <w:tcW w:w="851" w:type="dxa"/>
            <w:shd w:val="clear" w:color="auto" w:fill="FFFFFF"/>
          </w:tcPr>
          <w:p w14:paraId="2742983C" w14:textId="070869E1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7797" w:type="dxa"/>
            <w:shd w:val="clear" w:color="auto" w:fill="FFFFFF"/>
          </w:tcPr>
          <w:p w14:paraId="40D70406" w14:textId="0ACDF5B6" w:rsidR="00B57F8C" w:rsidRPr="00B57F8C" w:rsidRDefault="00B57F8C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57F8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AOB</w:t>
            </w:r>
          </w:p>
        </w:tc>
        <w:tc>
          <w:tcPr>
            <w:tcW w:w="992" w:type="dxa"/>
            <w:shd w:val="clear" w:color="auto" w:fill="FFFFFF"/>
          </w:tcPr>
          <w:p w14:paraId="13C225EF" w14:textId="77777777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B57F8C" w:rsidRPr="00FC0F85" w14:paraId="3BA6A739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26BC525B" w14:textId="77777777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4F279DAD" w14:textId="496451E5" w:rsidR="00B57F8C" w:rsidRDefault="00CD6CD5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Discussion surrounding </w:t>
            </w:r>
            <w:r w:rsidR="00617333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AAG updates to the four SAAB groups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 The</w:t>
            </w:r>
            <w:r w:rsidR="00617333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last update </w:t>
            </w:r>
            <w:r w:rsidR="0026488F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was given in November. </w:t>
            </w:r>
            <w:r w:rsidR="00B52BF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Looking for volunteers to update these groups.</w:t>
            </w:r>
          </w:p>
          <w:p w14:paraId="74211057" w14:textId="77777777" w:rsidR="0026488F" w:rsidRPr="00B52BF5" w:rsidRDefault="0026488F" w:rsidP="00B52BF5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2BF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Standards &amp; Frameworks </w:t>
            </w:r>
          </w:p>
          <w:p w14:paraId="5EDDFDF8" w14:textId="77777777" w:rsidR="0026488F" w:rsidRPr="00B52BF5" w:rsidRDefault="0026488F" w:rsidP="00B52BF5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2BF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Employer Engagement </w:t>
            </w:r>
          </w:p>
          <w:p w14:paraId="2054BD6D" w14:textId="77777777" w:rsidR="0026488F" w:rsidRDefault="0026488F" w:rsidP="00B52BF5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2BF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Equalities </w:t>
            </w:r>
          </w:p>
          <w:p w14:paraId="1BE96826" w14:textId="77777777" w:rsidR="00CD6CD5" w:rsidRDefault="00CD6CD5" w:rsidP="00B52BF5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Apprenticeship Engagement Group </w:t>
            </w:r>
          </w:p>
          <w:p w14:paraId="21B04194" w14:textId="06F323FB" w:rsidR="00CD6CD5" w:rsidRPr="00CD6CD5" w:rsidRDefault="007330A8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330A8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NC</w:t>
            </w:r>
            <w:r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o</w:t>
            </w:r>
            <w:proofErr w:type="spellEnd"/>
            <w:r w:rsidRPr="007330A8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to develop/propose st</w:t>
            </w:r>
            <w:r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andar</w:t>
            </w:r>
            <w:r w:rsidRPr="007330A8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d template for discussion with RJ/GB/TD</w:t>
            </w:r>
          </w:p>
        </w:tc>
        <w:tc>
          <w:tcPr>
            <w:tcW w:w="992" w:type="dxa"/>
            <w:shd w:val="clear" w:color="auto" w:fill="FFFFFF"/>
          </w:tcPr>
          <w:p w14:paraId="087D7F63" w14:textId="77777777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D80D40F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EC0DF65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3CEF839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D97C3B9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7B966B0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2BD119F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1D0A06A" w14:textId="59238245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</w:tc>
      </w:tr>
    </w:tbl>
    <w:p w14:paraId="0A6CFE19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4F0A5D" w:rsidRPr="00FC0F85" w14:paraId="09A85D0E" w14:textId="77777777" w:rsidTr="00F22C4B">
        <w:trPr>
          <w:trHeight w:val="324"/>
        </w:trPr>
        <w:tc>
          <w:tcPr>
            <w:tcW w:w="9640" w:type="dxa"/>
            <w:gridSpan w:val="2"/>
          </w:tcPr>
          <w:p w14:paraId="125CB56A" w14:textId="77777777" w:rsidR="004F0A5D" w:rsidRPr="00FC0F85" w:rsidRDefault="004F0A5D" w:rsidP="00442467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4F0A5D" w:rsidRPr="00FC0F85" w14:paraId="17452EF3" w14:textId="77777777" w:rsidTr="00F22C4B">
        <w:trPr>
          <w:trHeight w:val="309"/>
        </w:trPr>
        <w:tc>
          <w:tcPr>
            <w:tcW w:w="8648" w:type="dxa"/>
          </w:tcPr>
          <w:p w14:paraId="1B06A8BF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98465E0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4F0A5D" w:rsidRPr="00FC0F85" w14:paraId="566D135D" w14:textId="77777777" w:rsidTr="00F22C4B">
        <w:trPr>
          <w:trHeight w:val="324"/>
        </w:trPr>
        <w:tc>
          <w:tcPr>
            <w:tcW w:w="8648" w:type="dxa"/>
          </w:tcPr>
          <w:p w14:paraId="5426DB52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1B8B7B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4F0A5D" w:rsidRPr="00FC0F85" w14:paraId="23E2F404" w14:textId="77777777" w:rsidTr="00F22C4B">
        <w:trPr>
          <w:trHeight w:val="324"/>
        </w:trPr>
        <w:tc>
          <w:tcPr>
            <w:tcW w:w="8648" w:type="dxa"/>
          </w:tcPr>
          <w:p w14:paraId="318CCB00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May 2023. </w:t>
            </w:r>
          </w:p>
        </w:tc>
        <w:tc>
          <w:tcPr>
            <w:tcW w:w="992" w:type="dxa"/>
          </w:tcPr>
          <w:p w14:paraId="01548E47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4F0A5D" w:rsidRPr="00FC0F85" w14:paraId="4F001D20" w14:textId="77777777" w:rsidTr="00F22C4B">
        <w:trPr>
          <w:trHeight w:val="324"/>
        </w:trPr>
        <w:tc>
          <w:tcPr>
            <w:tcW w:w="8648" w:type="dxa"/>
          </w:tcPr>
          <w:p w14:paraId="70F46C64" w14:textId="14901BF2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Review FAQ Document in </w:t>
            </w:r>
            <w:r w:rsidR="00E520CF" w:rsidRPr="00E520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 2023</w:t>
            </w:r>
          </w:p>
        </w:tc>
        <w:tc>
          <w:tcPr>
            <w:tcW w:w="992" w:type="dxa"/>
          </w:tcPr>
          <w:p w14:paraId="6BEF1B8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4F0A5D" w:rsidRPr="00FC0F85" w14:paraId="7C8103D1" w14:textId="77777777" w:rsidTr="00F22C4B">
        <w:trPr>
          <w:trHeight w:val="309"/>
        </w:trPr>
        <w:tc>
          <w:tcPr>
            <w:tcW w:w="8648" w:type="dxa"/>
          </w:tcPr>
          <w:p w14:paraId="526A440B" w14:textId="3479FB3A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proofErr w:type="spellStart"/>
            <w:r w:rsidRPr="0049427F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49427F">
              <w:rPr>
                <w:rFonts w:ascii="Arial" w:hAnsi="Arial" w:cs="Arial"/>
                <w:sz w:val="20"/>
                <w:szCs w:val="20"/>
              </w:rPr>
              <w:t xml:space="preserve"> Document in </w:t>
            </w:r>
            <w:r w:rsidR="00E520CF" w:rsidRPr="00E520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C137A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A90A1A" w:rsidRPr="00FC0F85" w14:paraId="0406042D" w14:textId="77777777" w:rsidTr="00F22C4B">
        <w:trPr>
          <w:trHeight w:val="309"/>
        </w:trPr>
        <w:tc>
          <w:tcPr>
            <w:tcW w:w="8648" w:type="dxa"/>
          </w:tcPr>
          <w:p w14:paraId="54D96E6D" w14:textId="1BA71658" w:rsidR="00A90A1A" w:rsidRPr="0049427F" w:rsidRDefault="00A90A1A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Improvement </w:t>
            </w:r>
            <w:r w:rsidR="00E520CF">
              <w:rPr>
                <w:rFonts w:ascii="Arial" w:hAnsi="Arial" w:cs="Arial"/>
                <w:sz w:val="20"/>
                <w:szCs w:val="20"/>
              </w:rPr>
              <w:t xml:space="preserve">Activity Update </w:t>
            </w:r>
            <w:r w:rsidR="00E520CF" w:rsidRP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</w:t>
            </w:r>
            <w:r w:rsid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/June</w:t>
            </w:r>
            <w:r w:rsidR="00E520CF" w:rsidRP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992" w:type="dxa"/>
          </w:tcPr>
          <w:p w14:paraId="346E3C24" w14:textId="572D92E0" w:rsidR="00A90A1A" w:rsidRPr="0049427F" w:rsidRDefault="00A90A1A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7330A8" w:rsidRPr="00FC0F85" w14:paraId="17237970" w14:textId="77777777" w:rsidTr="00F22C4B">
        <w:trPr>
          <w:trHeight w:val="309"/>
        </w:trPr>
        <w:tc>
          <w:tcPr>
            <w:tcW w:w="8648" w:type="dxa"/>
          </w:tcPr>
          <w:p w14:paraId="2CBC7257" w14:textId="209C3340" w:rsidR="007330A8" w:rsidRDefault="00D847AC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TD </w:t>
            </w:r>
            <w:r w:rsidR="00795E6A">
              <w:rPr>
                <w:rFonts w:ascii="Arial" w:hAnsi="Arial" w:cs="Arial"/>
                <w:sz w:val="20"/>
                <w:szCs w:val="20"/>
              </w:rPr>
              <w:t xml:space="preserve">to pick up with </w:t>
            </w:r>
            <w:proofErr w:type="spellStart"/>
            <w:r w:rsidR="00795E6A">
              <w:rPr>
                <w:rFonts w:ascii="Arial" w:hAnsi="Arial" w:cs="Arial"/>
                <w:sz w:val="20"/>
                <w:szCs w:val="20"/>
              </w:rPr>
              <w:t>NCr</w:t>
            </w:r>
            <w:proofErr w:type="spellEnd"/>
            <w:r w:rsidR="00795E6A">
              <w:rPr>
                <w:rFonts w:ascii="Arial" w:hAnsi="Arial" w:cs="Arial"/>
                <w:sz w:val="20"/>
                <w:szCs w:val="20"/>
              </w:rPr>
              <w:t xml:space="preserve"> offline to discuss how the prog</w:t>
            </w:r>
            <w:r w:rsidR="00AF30D2">
              <w:rPr>
                <w:rFonts w:ascii="Arial" w:hAnsi="Arial" w:cs="Arial"/>
                <w:sz w:val="20"/>
                <w:szCs w:val="20"/>
              </w:rPr>
              <w:t xml:space="preserve">ression and learner pathways for Engineering can be made clearer for apprentices and employers </w:t>
            </w:r>
          </w:p>
        </w:tc>
        <w:tc>
          <w:tcPr>
            <w:tcW w:w="992" w:type="dxa"/>
          </w:tcPr>
          <w:p w14:paraId="547B3EC2" w14:textId="43FF7C12" w:rsidR="007330A8" w:rsidRDefault="00AF30D2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NCr</w:t>
            </w:r>
            <w:proofErr w:type="spellEnd"/>
          </w:p>
        </w:tc>
      </w:tr>
    </w:tbl>
    <w:p w14:paraId="6E8F378A" w14:textId="5C7AD801" w:rsidR="00596E11" w:rsidRDefault="00000000">
      <w:pPr>
        <w:rPr>
          <w:sz w:val="22"/>
          <w:szCs w:val="22"/>
        </w:rPr>
      </w:pPr>
    </w:p>
    <w:p w14:paraId="6FBD94AC" w14:textId="77777777" w:rsidR="00D83709" w:rsidRDefault="00D83709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7D6848" w:rsidRPr="00FC0F85" w14:paraId="4CDF434D" w14:textId="77777777" w:rsidTr="00D83709">
        <w:trPr>
          <w:trHeight w:val="321"/>
        </w:trPr>
        <w:tc>
          <w:tcPr>
            <w:tcW w:w="9640" w:type="dxa"/>
            <w:gridSpan w:val="2"/>
          </w:tcPr>
          <w:p w14:paraId="39495218" w14:textId="331957C9" w:rsidR="007D6848" w:rsidRPr="00FC0F85" w:rsidRDefault="00213880" w:rsidP="00213880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</w:t>
            </w:r>
            <w:r w:rsidR="00D83709">
              <w:rPr>
                <w:rFonts w:ascii="Arial" w:hAnsi="Arial" w:cs="Arial"/>
                <w:b/>
                <w:bCs/>
                <w:sz w:val="22"/>
              </w:rPr>
              <w:t xml:space="preserve"> (Stage Gate 3)</w:t>
            </w:r>
          </w:p>
        </w:tc>
      </w:tr>
      <w:tr w:rsidR="007D6848" w:rsidRPr="00FC0F85" w14:paraId="048A54A5" w14:textId="77777777" w:rsidTr="00D83709">
        <w:trPr>
          <w:trHeight w:val="309"/>
        </w:trPr>
        <w:tc>
          <w:tcPr>
            <w:tcW w:w="7230" w:type="dxa"/>
          </w:tcPr>
          <w:p w14:paraId="2C25BFFC" w14:textId="3FEE06AD" w:rsidR="007D6848" w:rsidRPr="00FC0F85" w:rsidRDefault="007D6848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2410" w:type="dxa"/>
          </w:tcPr>
          <w:p w14:paraId="3F42E650" w14:textId="0136EB49" w:rsidR="007D6848" w:rsidRPr="00FC0F85" w:rsidRDefault="00213880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7D6848" w:rsidRPr="00FC0F85" w14:paraId="3E6AB01D" w14:textId="77777777" w:rsidTr="00D83709">
        <w:trPr>
          <w:trHeight w:val="324"/>
        </w:trPr>
        <w:tc>
          <w:tcPr>
            <w:tcW w:w="7230" w:type="dxa"/>
          </w:tcPr>
          <w:p w14:paraId="49DDFFA7" w14:textId="67645C41" w:rsidR="007D6848" w:rsidRPr="0049427F" w:rsidRDefault="0021388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Hairdressing &amp; Ba</w:t>
            </w:r>
            <w:r w:rsidR="00006A70">
              <w:rPr>
                <w:rFonts w:ascii="Arial" w:hAnsi="Arial" w:cs="Arial"/>
                <w:sz w:val="20"/>
                <w:szCs w:val="20"/>
              </w:rPr>
              <w:t>rbering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6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A58EF8" w14:textId="69C4B44A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7D6848" w:rsidRPr="00FC0F85" w14:paraId="3ABEB14A" w14:textId="77777777" w:rsidTr="00D83709">
        <w:trPr>
          <w:trHeight w:val="324"/>
        </w:trPr>
        <w:tc>
          <w:tcPr>
            <w:tcW w:w="7230" w:type="dxa"/>
          </w:tcPr>
          <w:p w14:paraId="1DF31138" w14:textId="10340EB2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7</w:t>
            </w:r>
          </w:p>
        </w:tc>
        <w:tc>
          <w:tcPr>
            <w:tcW w:w="2410" w:type="dxa"/>
          </w:tcPr>
          <w:p w14:paraId="10E84C2A" w14:textId="6A05F28D" w:rsidR="007D6848" w:rsidRPr="0049427F" w:rsidRDefault="00D83709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0B2DD7" w:rsidRPr="00FC0F85" w14:paraId="6F015FC4" w14:textId="77777777" w:rsidTr="00D83709">
        <w:trPr>
          <w:trHeight w:val="324"/>
        </w:trPr>
        <w:tc>
          <w:tcPr>
            <w:tcW w:w="7230" w:type="dxa"/>
          </w:tcPr>
          <w:p w14:paraId="40155D32" w14:textId="40B094F4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Technology SCQF Level 6 </w:t>
            </w:r>
          </w:p>
        </w:tc>
        <w:tc>
          <w:tcPr>
            <w:tcW w:w="2410" w:type="dxa"/>
          </w:tcPr>
          <w:p w14:paraId="0EA51ACA" w14:textId="75737B8A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  <w:tr w:rsidR="000B2DD7" w:rsidRPr="00FC0F85" w14:paraId="552764EE" w14:textId="77777777" w:rsidTr="00D83709">
        <w:trPr>
          <w:trHeight w:val="324"/>
        </w:trPr>
        <w:tc>
          <w:tcPr>
            <w:tcW w:w="7230" w:type="dxa"/>
          </w:tcPr>
          <w:p w14:paraId="17EB93A2" w14:textId="77A07A0A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Technology SCQF Level 8 (Additional three pathways)</w:t>
            </w:r>
          </w:p>
        </w:tc>
        <w:tc>
          <w:tcPr>
            <w:tcW w:w="2410" w:type="dxa"/>
          </w:tcPr>
          <w:p w14:paraId="438B617A" w14:textId="3289DC3E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  <w:tr w:rsidR="00E54949" w:rsidRPr="00FC0F85" w14:paraId="59B490B9" w14:textId="77777777" w:rsidTr="00D83709">
        <w:trPr>
          <w:trHeight w:val="324"/>
        </w:trPr>
        <w:tc>
          <w:tcPr>
            <w:tcW w:w="7230" w:type="dxa"/>
          </w:tcPr>
          <w:p w14:paraId="2F93E975" w14:textId="44774A3C" w:rsidR="00E54949" w:rsidRDefault="00E54949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 w:rsidR="006D2A76">
              <w:rPr>
                <w:rFonts w:ascii="Arial" w:hAnsi="Arial" w:cs="Arial"/>
                <w:sz w:val="20"/>
                <w:szCs w:val="20"/>
              </w:rPr>
              <w:t xml:space="preserve">SCQF Level 7 </w:t>
            </w:r>
          </w:p>
        </w:tc>
        <w:tc>
          <w:tcPr>
            <w:tcW w:w="2410" w:type="dxa"/>
          </w:tcPr>
          <w:p w14:paraId="586FF270" w14:textId="3E88AC94" w:rsidR="00E54949" w:rsidRDefault="006D2A76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06/04/2023</w:t>
            </w:r>
          </w:p>
        </w:tc>
      </w:tr>
    </w:tbl>
    <w:p w14:paraId="75E31B92" w14:textId="6144A4CB" w:rsidR="00527FC9" w:rsidRDefault="00527FC9" w:rsidP="00235A8C">
      <w:pPr>
        <w:rPr>
          <w:sz w:val="22"/>
          <w:szCs w:val="22"/>
        </w:rPr>
      </w:pPr>
    </w:p>
    <w:p w14:paraId="4D6A328F" w14:textId="1EC5D38B" w:rsidR="00DE5A9C" w:rsidRPr="00FC0F85" w:rsidRDefault="00DE5A9C" w:rsidP="00235A8C">
      <w:pPr>
        <w:rPr>
          <w:sz w:val="22"/>
          <w:szCs w:val="22"/>
        </w:rPr>
      </w:pPr>
    </w:p>
    <w:sectPr w:rsidR="00DE5A9C" w:rsidRPr="00FC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B9"/>
    <w:multiLevelType w:val="hybridMultilevel"/>
    <w:tmpl w:val="2B6AE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F60"/>
    <w:multiLevelType w:val="hybridMultilevel"/>
    <w:tmpl w:val="D16465F2"/>
    <w:lvl w:ilvl="0" w:tplc="B2ECB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5CA"/>
    <w:multiLevelType w:val="hybridMultilevel"/>
    <w:tmpl w:val="3FDC3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55F"/>
    <w:multiLevelType w:val="hybridMultilevel"/>
    <w:tmpl w:val="5496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65B30"/>
    <w:multiLevelType w:val="multilevel"/>
    <w:tmpl w:val="140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009DA"/>
    <w:multiLevelType w:val="hybridMultilevel"/>
    <w:tmpl w:val="32FC5478"/>
    <w:lvl w:ilvl="0" w:tplc="B2ECB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1B04"/>
    <w:multiLevelType w:val="hybridMultilevel"/>
    <w:tmpl w:val="53CC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DA4"/>
    <w:multiLevelType w:val="hybridMultilevel"/>
    <w:tmpl w:val="839C6782"/>
    <w:lvl w:ilvl="0" w:tplc="D4D0CCE8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687A"/>
    <w:multiLevelType w:val="hybridMultilevel"/>
    <w:tmpl w:val="C29E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776"/>
    <w:multiLevelType w:val="hybridMultilevel"/>
    <w:tmpl w:val="17A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2BCA"/>
    <w:multiLevelType w:val="hybridMultilevel"/>
    <w:tmpl w:val="29864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D06E9"/>
    <w:multiLevelType w:val="hybridMultilevel"/>
    <w:tmpl w:val="4ED25F92"/>
    <w:lvl w:ilvl="0" w:tplc="B2ECBD5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C1F96"/>
    <w:multiLevelType w:val="hybridMultilevel"/>
    <w:tmpl w:val="E5C43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0269"/>
    <w:multiLevelType w:val="hybridMultilevel"/>
    <w:tmpl w:val="07AA7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977C5C"/>
    <w:multiLevelType w:val="hybridMultilevel"/>
    <w:tmpl w:val="71B4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10660"/>
    <w:multiLevelType w:val="hybridMultilevel"/>
    <w:tmpl w:val="160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5DF8"/>
    <w:multiLevelType w:val="hybridMultilevel"/>
    <w:tmpl w:val="C944E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3796C"/>
    <w:multiLevelType w:val="hybridMultilevel"/>
    <w:tmpl w:val="64F22CAC"/>
    <w:lvl w:ilvl="0" w:tplc="77522A3A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1236"/>
    <w:multiLevelType w:val="hybridMultilevel"/>
    <w:tmpl w:val="AD2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983"/>
    <w:multiLevelType w:val="hybridMultilevel"/>
    <w:tmpl w:val="A7A85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987C66"/>
    <w:multiLevelType w:val="hybridMultilevel"/>
    <w:tmpl w:val="7FCC322E"/>
    <w:lvl w:ilvl="0" w:tplc="0C349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F0CAF"/>
    <w:multiLevelType w:val="hybridMultilevel"/>
    <w:tmpl w:val="B33A3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197782">
    <w:abstractNumId w:val="4"/>
  </w:num>
  <w:num w:numId="2" w16cid:durableId="928781171">
    <w:abstractNumId w:val="9"/>
  </w:num>
  <w:num w:numId="3" w16cid:durableId="951474016">
    <w:abstractNumId w:val="15"/>
  </w:num>
  <w:num w:numId="4" w16cid:durableId="1784035947">
    <w:abstractNumId w:val="21"/>
  </w:num>
  <w:num w:numId="5" w16cid:durableId="210306072">
    <w:abstractNumId w:val="14"/>
  </w:num>
  <w:num w:numId="6" w16cid:durableId="173765948">
    <w:abstractNumId w:val="19"/>
  </w:num>
  <w:num w:numId="7" w16cid:durableId="392582199">
    <w:abstractNumId w:val="8"/>
  </w:num>
  <w:num w:numId="8" w16cid:durableId="1034766019">
    <w:abstractNumId w:val="16"/>
  </w:num>
  <w:num w:numId="9" w16cid:durableId="1669014302">
    <w:abstractNumId w:val="10"/>
  </w:num>
  <w:num w:numId="10" w16cid:durableId="2037610973">
    <w:abstractNumId w:val="0"/>
  </w:num>
  <w:num w:numId="11" w16cid:durableId="1109357012">
    <w:abstractNumId w:val="18"/>
  </w:num>
  <w:num w:numId="12" w16cid:durableId="213741949">
    <w:abstractNumId w:val="20"/>
  </w:num>
  <w:num w:numId="13" w16cid:durableId="1105423966">
    <w:abstractNumId w:val="3"/>
  </w:num>
  <w:num w:numId="14" w16cid:durableId="1245139898">
    <w:abstractNumId w:val="12"/>
  </w:num>
  <w:num w:numId="15" w16cid:durableId="834148522">
    <w:abstractNumId w:val="7"/>
  </w:num>
  <w:num w:numId="16" w16cid:durableId="1650862507">
    <w:abstractNumId w:val="17"/>
  </w:num>
  <w:num w:numId="17" w16cid:durableId="1966424887">
    <w:abstractNumId w:val="11"/>
  </w:num>
  <w:num w:numId="18" w16cid:durableId="543908486">
    <w:abstractNumId w:val="1"/>
  </w:num>
  <w:num w:numId="19" w16cid:durableId="565183892">
    <w:abstractNumId w:val="5"/>
  </w:num>
  <w:num w:numId="20" w16cid:durableId="939720737">
    <w:abstractNumId w:val="2"/>
  </w:num>
  <w:num w:numId="21" w16cid:durableId="1582713070">
    <w:abstractNumId w:val="6"/>
  </w:num>
  <w:num w:numId="22" w16cid:durableId="742871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D"/>
    <w:rsid w:val="0000294A"/>
    <w:rsid w:val="000068FC"/>
    <w:rsid w:val="00006A70"/>
    <w:rsid w:val="00006BE7"/>
    <w:rsid w:val="000079F0"/>
    <w:rsid w:val="00016C0C"/>
    <w:rsid w:val="000276F3"/>
    <w:rsid w:val="00031577"/>
    <w:rsid w:val="0003321C"/>
    <w:rsid w:val="000343C9"/>
    <w:rsid w:val="00035365"/>
    <w:rsid w:val="000354D7"/>
    <w:rsid w:val="00047809"/>
    <w:rsid w:val="00050BB5"/>
    <w:rsid w:val="000516A1"/>
    <w:rsid w:val="00057F18"/>
    <w:rsid w:val="000600E9"/>
    <w:rsid w:val="00061C3C"/>
    <w:rsid w:val="00064EDD"/>
    <w:rsid w:val="00066393"/>
    <w:rsid w:val="00066482"/>
    <w:rsid w:val="00073C19"/>
    <w:rsid w:val="00073C51"/>
    <w:rsid w:val="000755AB"/>
    <w:rsid w:val="00075A69"/>
    <w:rsid w:val="000760B9"/>
    <w:rsid w:val="00082C03"/>
    <w:rsid w:val="00082ED3"/>
    <w:rsid w:val="00085AB2"/>
    <w:rsid w:val="00085B16"/>
    <w:rsid w:val="00086EA2"/>
    <w:rsid w:val="00090B3B"/>
    <w:rsid w:val="0009367C"/>
    <w:rsid w:val="000974D4"/>
    <w:rsid w:val="000A1CD5"/>
    <w:rsid w:val="000A247D"/>
    <w:rsid w:val="000A7C9A"/>
    <w:rsid w:val="000B2DD7"/>
    <w:rsid w:val="000B3DEA"/>
    <w:rsid w:val="000C040E"/>
    <w:rsid w:val="000C142E"/>
    <w:rsid w:val="000C22A4"/>
    <w:rsid w:val="000C5B14"/>
    <w:rsid w:val="000C5D85"/>
    <w:rsid w:val="000C6593"/>
    <w:rsid w:val="000D3B9A"/>
    <w:rsid w:val="000D4A42"/>
    <w:rsid w:val="000E1DBA"/>
    <w:rsid w:val="000E691E"/>
    <w:rsid w:val="000E78E5"/>
    <w:rsid w:val="000F1AB4"/>
    <w:rsid w:val="000F56A6"/>
    <w:rsid w:val="000F599F"/>
    <w:rsid w:val="000F661A"/>
    <w:rsid w:val="000F7CA9"/>
    <w:rsid w:val="001001CC"/>
    <w:rsid w:val="00102EB1"/>
    <w:rsid w:val="001049A4"/>
    <w:rsid w:val="00106241"/>
    <w:rsid w:val="00115FA2"/>
    <w:rsid w:val="00120487"/>
    <w:rsid w:val="00122525"/>
    <w:rsid w:val="00123112"/>
    <w:rsid w:val="0012380F"/>
    <w:rsid w:val="00124A90"/>
    <w:rsid w:val="00125CA7"/>
    <w:rsid w:val="00135220"/>
    <w:rsid w:val="00135DE8"/>
    <w:rsid w:val="00136F44"/>
    <w:rsid w:val="00143779"/>
    <w:rsid w:val="001438BD"/>
    <w:rsid w:val="00144CE1"/>
    <w:rsid w:val="001505A9"/>
    <w:rsid w:val="00151DBA"/>
    <w:rsid w:val="00152727"/>
    <w:rsid w:val="0015300A"/>
    <w:rsid w:val="001546D5"/>
    <w:rsid w:val="00154DDE"/>
    <w:rsid w:val="001552F5"/>
    <w:rsid w:val="00165848"/>
    <w:rsid w:val="00175C59"/>
    <w:rsid w:val="001765A5"/>
    <w:rsid w:val="00177385"/>
    <w:rsid w:val="001811B3"/>
    <w:rsid w:val="00185B93"/>
    <w:rsid w:val="00191FB5"/>
    <w:rsid w:val="00194409"/>
    <w:rsid w:val="00194F55"/>
    <w:rsid w:val="00196A35"/>
    <w:rsid w:val="00197E3B"/>
    <w:rsid w:val="00197E97"/>
    <w:rsid w:val="001A19C2"/>
    <w:rsid w:val="001A1BD0"/>
    <w:rsid w:val="001A2678"/>
    <w:rsid w:val="001A30A2"/>
    <w:rsid w:val="001B1E1A"/>
    <w:rsid w:val="001B263C"/>
    <w:rsid w:val="001B46C1"/>
    <w:rsid w:val="001B510E"/>
    <w:rsid w:val="001B5777"/>
    <w:rsid w:val="001B683D"/>
    <w:rsid w:val="001B7521"/>
    <w:rsid w:val="001D17F8"/>
    <w:rsid w:val="001D3388"/>
    <w:rsid w:val="001D552E"/>
    <w:rsid w:val="001D71B0"/>
    <w:rsid w:val="001E3531"/>
    <w:rsid w:val="001E5D9C"/>
    <w:rsid w:val="001F1580"/>
    <w:rsid w:val="001F2FA2"/>
    <w:rsid w:val="001F3F4D"/>
    <w:rsid w:val="0020151C"/>
    <w:rsid w:val="0020335C"/>
    <w:rsid w:val="00206273"/>
    <w:rsid w:val="00206A01"/>
    <w:rsid w:val="00211FAD"/>
    <w:rsid w:val="00213880"/>
    <w:rsid w:val="00221485"/>
    <w:rsid w:val="00225B7F"/>
    <w:rsid w:val="0023037D"/>
    <w:rsid w:val="00230E77"/>
    <w:rsid w:val="00231650"/>
    <w:rsid w:val="00232C5E"/>
    <w:rsid w:val="00233EC3"/>
    <w:rsid w:val="00235585"/>
    <w:rsid w:val="00235947"/>
    <w:rsid w:val="00235A8C"/>
    <w:rsid w:val="00244752"/>
    <w:rsid w:val="0024580B"/>
    <w:rsid w:val="0024784F"/>
    <w:rsid w:val="00247B43"/>
    <w:rsid w:val="00247F0C"/>
    <w:rsid w:val="00261A89"/>
    <w:rsid w:val="002646E2"/>
    <w:rsid w:val="0026488F"/>
    <w:rsid w:val="002666EB"/>
    <w:rsid w:val="00272923"/>
    <w:rsid w:val="0027480C"/>
    <w:rsid w:val="0027525D"/>
    <w:rsid w:val="00276166"/>
    <w:rsid w:val="00276F2C"/>
    <w:rsid w:val="0028274A"/>
    <w:rsid w:val="00282EDA"/>
    <w:rsid w:val="0028415B"/>
    <w:rsid w:val="0028695C"/>
    <w:rsid w:val="00287605"/>
    <w:rsid w:val="00290F18"/>
    <w:rsid w:val="0029143B"/>
    <w:rsid w:val="00291483"/>
    <w:rsid w:val="002954A6"/>
    <w:rsid w:val="00295D5F"/>
    <w:rsid w:val="00296D3D"/>
    <w:rsid w:val="0029775A"/>
    <w:rsid w:val="002A0964"/>
    <w:rsid w:val="002A6838"/>
    <w:rsid w:val="002B597E"/>
    <w:rsid w:val="002B6451"/>
    <w:rsid w:val="002B6B5E"/>
    <w:rsid w:val="002C0033"/>
    <w:rsid w:val="002C536E"/>
    <w:rsid w:val="002C590C"/>
    <w:rsid w:val="002C728D"/>
    <w:rsid w:val="002D55A0"/>
    <w:rsid w:val="002E5848"/>
    <w:rsid w:val="002F6CC2"/>
    <w:rsid w:val="002F7224"/>
    <w:rsid w:val="003022E5"/>
    <w:rsid w:val="003041CB"/>
    <w:rsid w:val="0030714E"/>
    <w:rsid w:val="0030793A"/>
    <w:rsid w:val="00320B49"/>
    <w:rsid w:val="00321A42"/>
    <w:rsid w:val="00330BEB"/>
    <w:rsid w:val="00335D21"/>
    <w:rsid w:val="00342360"/>
    <w:rsid w:val="003454F4"/>
    <w:rsid w:val="00350EA0"/>
    <w:rsid w:val="00352F20"/>
    <w:rsid w:val="00357059"/>
    <w:rsid w:val="00357980"/>
    <w:rsid w:val="00365CAE"/>
    <w:rsid w:val="003712CA"/>
    <w:rsid w:val="00371DC8"/>
    <w:rsid w:val="00372157"/>
    <w:rsid w:val="00372F40"/>
    <w:rsid w:val="0037396B"/>
    <w:rsid w:val="003758B1"/>
    <w:rsid w:val="00380650"/>
    <w:rsid w:val="00384CC8"/>
    <w:rsid w:val="003851D3"/>
    <w:rsid w:val="00385770"/>
    <w:rsid w:val="00387F22"/>
    <w:rsid w:val="00390391"/>
    <w:rsid w:val="0039150E"/>
    <w:rsid w:val="00395CD7"/>
    <w:rsid w:val="00397B0F"/>
    <w:rsid w:val="003A08B1"/>
    <w:rsid w:val="003A09C5"/>
    <w:rsid w:val="003A0C98"/>
    <w:rsid w:val="003A4049"/>
    <w:rsid w:val="003A409D"/>
    <w:rsid w:val="003A462A"/>
    <w:rsid w:val="003A4C52"/>
    <w:rsid w:val="003A66CB"/>
    <w:rsid w:val="003C008A"/>
    <w:rsid w:val="003C6DE9"/>
    <w:rsid w:val="003D0DAE"/>
    <w:rsid w:val="003E012B"/>
    <w:rsid w:val="003E0E59"/>
    <w:rsid w:val="003E12ED"/>
    <w:rsid w:val="003E3A98"/>
    <w:rsid w:val="003E7CAA"/>
    <w:rsid w:val="003F0792"/>
    <w:rsid w:val="003F2D5C"/>
    <w:rsid w:val="003F3B7B"/>
    <w:rsid w:val="003F40B2"/>
    <w:rsid w:val="003F7038"/>
    <w:rsid w:val="00400D05"/>
    <w:rsid w:val="00401002"/>
    <w:rsid w:val="00402161"/>
    <w:rsid w:val="00403439"/>
    <w:rsid w:val="00405BBE"/>
    <w:rsid w:val="00406E4E"/>
    <w:rsid w:val="00407235"/>
    <w:rsid w:val="00407431"/>
    <w:rsid w:val="004077A8"/>
    <w:rsid w:val="00410663"/>
    <w:rsid w:val="00411BBC"/>
    <w:rsid w:val="004120B4"/>
    <w:rsid w:val="00415CC9"/>
    <w:rsid w:val="00421506"/>
    <w:rsid w:val="004222D8"/>
    <w:rsid w:val="00423C38"/>
    <w:rsid w:val="00426DF7"/>
    <w:rsid w:val="004304E3"/>
    <w:rsid w:val="004327BF"/>
    <w:rsid w:val="0043375F"/>
    <w:rsid w:val="00433A32"/>
    <w:rsid w:val="004343A9"/>
    <w:rsid w:val="00436186"/>
    <w:rsid w:val="00436605"/>
    <w:rsid w:val="00445C7E"/>
    <w:rsid w:val="00450D17"/>
    <w:rsid w:val="004510F6"/>
    <w:rsid w:val="00451960"/>
    <w:rsid w:val="00457AE3"/>
    <w:rsid w:val="00460A07"/>
    <w:rsid w:val="004622D9"/>
    <w:rsid w:val="0046359A"/>
    <w:rsid w:val="00463FA6"/>
    <w:rsid w:val="00465586"/>
    <w:rsid w:val="00465E71"/>
    <w:rsid w:val="00470732"/>
    <w:rsid w:val="0047105F"/>
    <w:rsid w:val="00473606"/>
    <w:rsid w:val="00473CFF"/>
    <w:rsid w:val="00473E32"/>
    <w:rsid w:val="00480F37"/>
    <w:rsid w:val="00483971"/>
    <w:rsid w:val="00484398"/>
    <w:rsid w:val="004853F7"/>
    <w:rsid w:val="00485409"/>
    <w:rsid w:val="00485445"/>
    <w:rsid w:val="004862B3"/>
    <w:rsid w:val="00486424"/>
    <w:rsid w:val="004866D2"/>
    <w:rsid w:val="00492131"/>
    <w:rsid w:val="0049427F"/>
    <w:rsid w:val="004A09C5"/>
    <w:rsid w:val="004A1174"/>
    <w:rsid w:val="004A44FD"/>
    <w:rsid w:val="004A5D4E"/>
    <w:rsid w:val="004A7722"/>
    <w:rsid w:val="004B0B7D"/>
    <w:rsid w:val="004B3E11"/>
    <w:rsid w:val="004B5F21"/>
    <w:rsid w:val="004B739B"/>
    <w:rsid w:val="004C3354"/>
    <w:rsid w:val="004D0FA5"/>
    <w:rsid w:val="004D221F"/>
    <w:rsid w:val="004D49FB"/>
    <w:rsid w:val="004D64EF"/>
    <w:rsid w:val="004D76EA"/>
    <w:rsid w:val="004E60AB"/>
    <w:rsid w:val="004F0A5D"/>
    <w:rsid w:val="004F138D"/>
    <w:rsid w:val="004F174C"/>
    <w:rsid w:val="004F38FC"/>
    <w:rsid w:val="004F5735"/>
    <w:rsid w:val="004F68F6"/>
    <w:rsid w:val="0050164F"/>
    <w:rsid w:val="0050546D"/>
    <w:rsid w:val="00506CE2"/>
    <w:rsid w:val="0051064D"/>
    <w:rsid w:val="005146A4"/>
    <w:rsid w:val="005158F8"/>
    <w:rsid w:val="00520545"/>
    <w:rsid w:val="00523005"/>
    <w:rsid w:val="00523F4B"/>
    <w:rsid w:val="00524024"/>
    <w:rsid w:val="00524C6C"/>
    <w:rsid w:val="00527FC9"/>
    <w:rsid w:val="00530F26"/>
    <w:rsid w:val="00531E27"/>
    <w:rsid w:val="00532F0B"/>
    <w:rsid w:val="00533FC0"/>
    <w:rsid w:val="00535EAF"/>
    <w:rsid w:val="00546F0E"/>
    <w:rsid w:val="00554328"/>
    <w:rsid w:val="0056069C"/>
    <w:rsid w:val="00561BA9"/>
    <w:rsid w:val="005708F8"/>
    <w:rsid w:val="00570960"/>
    <w:rsid w:val="00571784"/>
    <w:rsid w:val="005773F2"/>
    <w:rsid w:val="005809E1"/>
    <w:rsid w:val="00580D08"/>
    <w:rsid w:val="00581D6F"/>
    <w:rsid w:val="005823FB"/>
    <w:rsid w:val="005828D1"/>
    <w:rsid w:val="005840C3"/>
    <w:rsid w:val="00584712"/>
    <w:rsid w:val="0058638F"/>
    <w:rsid w:val="00586767"/>
    <w:rsid w:val="0059006F"/>
    <w:rsid w:val="0059453C"/>
    <w:rsid w:val="00595F70"/>
    <w:rsid w:val="0059606F"/>
    <w:rsid w:val="005A0BA6"/>
    <w:rsid w:val="005A2B5B"/>
    <w:rsid w:val="005A3125"/>
    <w:rsid w:val="005A32CF"/>
    <w:rsid w:val="005B1CA5"/>
    <w:rsid w:val="005B3987"/>
    <w:rsid w:val="005B4199"/>
    <w:rsid w:val="005B465A"/>
    <w:rsid w:val="005B6F04"/>
    <w:rsid w:val="005B7823"/>
    <w:rsid w:val="005C0A94"/>
    <w:rsid w:val="005C0EC8"/>
    <w:rsid w:val="005D047F"/>
    <w:rsid w:val="005D4A32"/>
    <w:rsid w:val="005D52DC"/>
    <w:rsid w:val="005D770C"/>
    <w:rsid w:val="005D7E59"/>
    <w:rsid w:val="005E5C17"/>
    <w:rsid w:val="005F13D1"/>
    <w:rsid w:val="005F54ED"/>
    <w:rsid w:val="005F5CA8"/>
    <w:rsid w:val="005F60D0"/>
    <w:rsid w:val="005F6BA6"/>
    <w:rsid w:val="005F705F"/>
    <w:rsid w:val="006053AB"/>
    <w:rsid w:val="006058DF"/>
    <w:rsid w:val="00606F3F"/>
    <w:rsid w:val="00610003"/>
    <w:rsid w:val="0061083D"/>
    <w:rsid w:val="006155D7"/>
    <w:rsid w:val="00617333"/>
    <w:rsid w:val="00617555"/>
    <w:rsid w:val="00624D66"/>
    <w:rsid w:val="006252E8"/>
    <w:rsid w:val="006256C4"/>
    <w:rsid w:val="00626FB0"/>
    <w:rsid w:val="0063083B"/>
    <w:rsid w:val="00630B28"/>
    <w:rsid w:val="00635B39"/>
    <w:rsid w:val="00640D9E"/>
    <w:rsid w:val="006446BD"/>
    <w:rsid w:val="0064481D"/>
    <w:rsid w:val="006468CA"/>
    <w:rsid w:val="00650058"/>
    <w:rsid w:val="0065027E"/>
    <w:rsid w:val="006502C0"/>
    <w:rsid w:val="00650B16"/>
    <w:rsid w:val="006522B2"/>
    <w:rsid w:val="00655DDD"/>
    <w:rsid w:val="00657954"/>
    <w:rsid w:val="006630C2"/>
    <w:rsid w:val="0066616E"/>
    <w:rsid w:val="006716C9"/>
    <w:rsid w:val="00680252"/>
    <w:rsid w:val="006808A5"/>
    <w:rsid w:val="006831AB"/>
    <w:rsid w:val="0068706B"/>
    <w:rsid w:val="00691076"/>
    <w:rsid w:val="0069416E"/>
    <w:rsid w:val="00694612"/>
    <w:rsid w:val="0069581A"/>
    <w:rsid w:val="006964C7"/>
    <w:rsid w:val="006A2409"/>
    <w:rsid w:val="006A6858"/>
    <w:rsid w:val="006B04BD"/>
    <w:rsid w:val="006B47EE"/>
    <w:rsid w:val="006B6CA0"/>
    <w:rsid w:val="006B7311"/>
    <w:rsid w:val="006C38DF"/>
    <w:rsid w:val="006C705F"/>
    <w:rsid w:val="006D052E"/>
    <w:rsid w:val="006D2754"/>
    <w:rsid w:val="006D2A76"/>
    <w:rsid w:val="006D4721"/>
    <w:rsid w:val="006D6DED"/>
    <w:rsid w:val="006E149F"/>
    <w:rsid w:val="006E21AB"/>
    <w:rsid w:val="006E2D8E"/>
    <w:rsid w:val="006E3A67"/>
    <w:rsid w:val="006E7408"/>
    <w:rsid w:val="006F0211"/>
    <w:rsid w:val="006F0DAB"/>
    <w:rsid w:val="006F43E1"/>
    <w:rsid w:val="006F4F17"/>
    <w:rsid w:val="006F66F3"/>
    <w:rsid w:val="006F735C"/>
    <w:rsid w:val="00703EC4"/>
    <w:rsid w:val="007048D3"/>
    <w:rsid w:val="00705C8C"/>
    <w:rsid w:val="0070717F"/>
    <w:rsid w:val="007078D5"/>
    <w:rsid w:val="00707E84"/>
    <w:rsid w:val="00713AEC"/>
    <w:rsid w:val="00715496"/>
    <w:rsid w:val="0072349F"/>
    <w:rsid w:val="007238B0"/>
    <w:rsid w:val="00724E4A"/>
    <w:rsid w:val="00727FF9"/>
    <w:rsid w:val="00730C9A"/>
    <w:rsid w:val="00731B8C"/>
    <w:rsid w:val="00732C4E"/>
    <w:rsid w:val="007330A8"/>
    <w:rsid w:val="007350D7"/>
    <w:rsid w:val="0073564E"/>
    <w:rsid w:val="00736785"/>
    <w:rsid w:val="00740C1A"/>
    <w:rsid w:val="00742276"/>
    <w:rsid w:val="00742866"/>
    <w:rsid w:val="00742FBC"/>
    <w:rsid w:val="0074392F"/>
    <w:rsid w:val="00743D68"/>
    <w:rsid w:val="00743FE0"/>
    <w:rsid w:val="00744968"/>
    <w:rsid w:val="00744A5B"/>
    <w:rsid w:val="0074789B"/>
    <w:rsid w:val="00752917"/>
    <w:rsid w:val="007530FB"/>
    <w:rsid w:val="007557FF"/>
    <w:rsid w:val="00757951"/>
    <w:rsid w:val="00760796"/>
    <w:rsid w:val="00765C0B"/>
    <w:rsid w:val="00776E03"/>
    <w:rsid w:val="007855A8"/>
    <w:rsid w:val="007870A5"/>
    <w:rsid w:val="00791453"/>
    <w:rsid w:val="00793369"/>
    <w:rsid w:val="00793D5B"/>
    <w:rsid w:val="0079400B"/>
    <w:rsid w:val="007953BE"/>
    <w:rsid w:val="0079573A"/>
    <w:rsid w:val="00795902"/>
    <w:rsid w:val="00795E6A"/>
    <w:rsid w:val="007A17DF"/>
    <w:rsid w:val="007A1F81"/>
    <w:rsid w:val="007A2DF9"/>
    <w:rsid w:val="007A451C"/>
    <w:rsid w:val="007A64F4"/>
    <w:rsid w:val="007A697D"/>
    <w:rsid w:val="007A6D36"/>
    <w:rsid w:val="007B1C48"/>
    <w:rsid w:val="007B4081"/>
    <w:rsid w:val="007B5449"/>
    <w:rsid w:val="007B6E72"/>
    <w:rsid w:val="007C187F"/>
    <w:rsid w:val="007C2E18"/>
    <w:rsid w:val="007C2EE9"/>
    <w:rsid w:val="007C3361"/>
    <w:rsid w:val="007C6AFC"/>
    <w:rsid w:val="007D0F6C"/>
    <w:rsid w:val="007D23E5"/>
    <w:rsid w:val="007D26A7"/>
    <w:rsid w:val="007D5270"/>
    <w:rsid w:val="007D6848"/>
    <w:rsid w:val="007E2049"/>
    <w:rsid w:val="007E60BA"/>
    <w:rsid w:val="007F68DB"/>
    <w:rsid w:val="007F7646"/>
    <w:rsid w:val="00800BEF"/>
    <w:rsid w:val="0080515D"/>
    <w:rsid w:val="00805307"/>
    <w:rsid w:val="008061E3"/>
    <w:rsid w:val="00813D58"/>
    <w:rsid w:val="00815E5D"/>
    <w:rsid w:val="00815FA1"/>
    <w:rsid w:val="008200FA"/>
    <w:rsid w:val="008236AA"/>
    <w:rsid w:val="0082424C"/>
    <w:rsid w:val="00825388"/>
    <w:rsid w:val="008266C7"/>
    <w:rsid w:val="00830C98"/>
    <w:rsid w:val="00833345"/>
    <w:rsid w:val="00837067"/>
    <w:rsid w:val="00841ABE"/>
    <w:rsid w:val="008443F8"/>
    <w:rsid w:val="00844947"/>
    <w:rsid w:val="008464E7"/>
    <w:rsid w:val="00846A1B"/>
    <w:rsid w:val="008511A5"/>
    <w:rsid w:val="00855AF6"/>
    <w:rsid w:val="00855EBD"/>
    <w:rsid w:val="008616B8"/>
    <w:rsid w:val="008645FB"/>
    <w:rsid w:val="0086460C"/>
    <w:rsid w:val="0086484A"/>
    <w:rsid w:val="008662A8"/>
    <w:rsid w:val="0087017D"/>
    <w:rsid w:val="0087354A"/>
    <w:rsid w:val="00876AC5"/>
    <w:rsid w:val="00881466"/>
    <w:rsid w:val="00887B5B"/>
    <w:rsid w:val="0089128B"/>
    <w:rsid w:val="00896B09"/>
    <w:rsid w:val="00897A50"/>
    <w:rsid w:val="00897CC6"/>
    <w:rsid w:val="008A0C19"/>
    <w:rsid w:val="008A1B91"/>
    <w:rsid w:val="008A1C59"/>
    <w:rsid w:val="008A4D86"/>
    <w:rsid w:val="008A64F0"/>
    <w:rsid w:val="008B1626"/>
    <w:rsid w:val="008B3FDA"/>
    <w:rsid w:val="008B4210"/>
    <w:rsid w:val="008C2D46"/>
    <w:rsid w:val="008C4845"/>
    <w:rsid w:val="008C5726"/>
    <w:rsid w:val="008D0D03"/>
    <w:rsid w:val="008D183A"/>
    <w:rsid w:val="008D246F"/>
    <w:rsid w:val="008D7AF9"/>
    <w:rsid w:val="008E2C50"/>
    <w:rsid w:val="008F416A"/>
    <w:rsid w:val="009036CD"/>
    <w:rsid w:val="00904E4A"/>
    <w:rsid w:val="00905759"/>
    <w:rsid w:val="00906A25"/>
    <w:rsid w:val="00921AEE"/>
    <w:rsid w:val="00922A2A"/>
    <w:rsid w:val="0092364D"/>
    <w:rsid w:val="00923D88"/>
    <w:rsid w:val="0092524E"/>
    <w:rsid w:val="0092593E"/>
    <w:rsid w:val="0093260C"/>
    <w:rsid w:val="00932FA7"/>
    <w:rsid w:val="009340CA"/>
    <w:rsid w:val="0093416C"/>
    <w:rsid w:val="00943360"/>
    <w:rsid w:val="00943F8D"/>
    <w:rsid w:val="0094481C"/>
    <w:rsid w:val="00944FD8"/>
    <w:rsid w:val="009479CE"/>
    <w:rsid w:val="00950194"/>
    <w:rsid w:val="00950A3F"/>
    <w:rsid w:val="009514A8"/>
    <w:rsid w:val="00954A7E"/>
    <w:rsid w:val="00960918"/>
    <w:rsid w:val="00961E2F"/>
    <w:rsid w:val="009667CE"/>
    <w:rsid w:val="009705D5"/>
    <w:rsid w:val="00970C13"/>
    <w:rsid w:val="00970D1C"/>
    <w:rsid w:val="00971021"/>
    <w:rsid w:val="00971B87"/>
    <w:rsid w:val="0097342A"/>
    <w:rsid w:val="0097590C"/>
    <w:rsid w:val="00976854"/>
    <w:rsid w:val="009770FF"/>
    <w:rsid w:val="00981241"/>
    <w:rsid w:val="00984541"/>
    <w:rsid w:val="009931EF"/>
    <w:rsid w:val="00993D5E"/>
    <w:rsid w:val="009A059A"/>
    <w:rsid w:val="009A117A"/>
    <w:rsid w:val="009A1F4E"/>
    <w:rsid w:val="009A236A"/>
    <w:rsid w:val="009C4100"/>
    <w:rsid w:val="009C6175"/>
    <w:rsid w:val="009C6B24"/>
    <w:rsid w:val="009C76F7"/>
    <w:rsid w:val="009D0046"/>
    <w:rsid w:val="009D31CA"/>
    <w:rsid w:val="009D46F5"/>
    <w:rsid w:val="009D484A"/>
    <w:rsid w:val="009D6218"/>
    <w:rsid w:val="009D707A"/>
    <w:rsid w:val="009E00AA"/>
    <w:rsid w:val="009E20DE"/>
    <w:rsid w:val="009E4BA3"/>
    <w:rsid w:val="009F2BFE"/>
    <w:rsid w:val="009F77D3"/>
    <w:rsid w:val="00A00749"/>
    <w:rsid w:val="00A03BFB"/>
    <w:rsid w:val="00A05DFF"/>
    <w:rsid w:val="00A12157"/>
    <w:rsid w:val="00A134F6"/>
    <w:rsid w:val="00A13ACA"/>
    <w:rsid w:val="00A14150"/>
    <w:rsid w:val="00A143D4"/>
    <w:rsid w:val="00A14C23"/>
    <w:rsid w:val="00A14D2D"/>
    <w:rsid w:val="00A1504A"/>
    <w:rsid w:val="00A202BB"/>
    <w:rsid w:val="00A208AA"/>
    <w:rsid w:val="00A22AD9"/>
    <w:rsid w:val="00A2737E"/>
    <w:rsid w:val="00A308D6"/>
    <w:rsid w:val="00A41A16"/>
    <w:rsid w:val="00A435F1"/>
    <w:rsid w:val="00A45C16"/>
    <w:rsid w:val="00A45D65"/>
    <w:rsid w:val="00A52486"/>
    <w:rsid w:val="00A6294C"/>
    <w:rsid w:val="00A64B3F"/>
    <w:rsid w:val="00A662A8"/>
    <w:rsid w:val="00A7275D"/>
    <w:rsid w:val="00A72C10"/>
    <w:rsid w:val="00A80F74"/>
    <w:rsid w:val="00A8370D"/>
    <w:rsid w:val="00A87DAE"/>
    <w:rsid w:val="00A90A1A"/>
    <w:rsid w:val="00A91898"/>
    <w:rsid w:val="00A97791"/>
    <w:rsid w:val="00AA17B0"/>
    <w:rsid w:val="00AA27EE"/>
    <w:rsid w:val="00AA52FF"/>
    <w:rsid w:val="00AA680B"/>
    <w:rsid w:val="00AA7224"/>
    <w:rsid w:val="00AC0873"/>
    <w:rsid w:val="00AD0AD4"/>
    <w:rsid w:val="00AD1798"/>
    <w:rsid w:val="00AD5725"/>
    <w:rsid w:val="00AE01C4"/>
    <w:rsid w:val="00AE3622"/>
    <w:rsid w:val="00AE57FF"/>
    <w:rsid w:val="00AE725C"/>
    <w:rsid w:val="00AF11FD"/>
    <w:rsid w:val="00AF27A6"/>
    <w:rsid w:val="00AF2A00"/>
    <w:rsid w:val="00AF30D2"/>
    <w:rsid w:val="00AF790D"/>
    <w:rsid w:val="00B00AB3"/>
    <w:rsid w:val="00B01E0B"/>
    <w:rsid w:val="00B02391"/>
    <w:rsid w:val="00B03753"/>
    <w:rsid w:val="00B03F2E"/>
    <w:rsid w:val="00B07153"/>
    <w:rsid w:val="00B10CDA"/>
    <w:rsid w:val="00B1582B"/>
    <w:rsid w:val="00B2132B"/>
    <w:rsid w:val="00B2255C"/>
    <w:rsid w:val="00B23696"/>
    <w:rsid w:val="00B25148"/>
    <w:rsid w:val="00B33E8E"/>
    <w:rsid w:val="00B3451E"/>
    <w:rsid w:val="00B376D5"/>
    <w:rsid w:val="00B40B8A"/>
    <w:rsid w:val="00B42F17"/>
    <w:rsid w:val="00B4448C"/>
    <w:rsid w:val="00B52455"/>
    <w:rsid w:val="00B52BF5"/>
    <w:rsid w:val="00B57B4B"/>
    <w:rsid w:val="00B57F8C"/>
    <w:rsid w:val="00B6122E"/>
    <w:rsid w:val="00B63B4F"/>
    <w:rsid w:val="00B72AC7"/>
    <w:rsid w:val="00B86591"/>
    <w:rsid w:val="00B86768"/>
    <w:rsid w:val="00B87250"/>
    <w:rsid w:val="00B872F8"/>
    <w:rsid w:val="00B90891"/>
    <w:rsid w:val="00B95731"/>
    <w:rsid w:val="00B97943"/>
    <w:rsid w:val="00BA04BA"/>
    <w:rsid w:val="00BA09DA"/>
    <w:rsid w:val="00BA7982"/>
    <w:rsid w:val="00BB564C"/>
    <w:rsid w:val="00BC0981"/>
    <w:rsid w:val="00BC1806"/>
    <w:rsid w:val="00BC2562"/>
    <w:rsid w:val="00BC7017"/>
    <w:rsid w:val="00BC764A"/>
    <w:rsid w:val="00BD15A1"/>
    <w:rsid w:val="00BD5A49"/>
    <w:rsid w:val="00BE376D"/>
    <w:rsid w:val="00BE6ACB"/>
    <w:rsid w:val="00BE6EC9"/>
    <w:rsid w:val="00BE76F1"/>
    <w:rsid w:val="00BF4168"/>
    <w:rsid w:val="00BF4FCE"/>
    <w:rsid w:val="00BF6B9C"/>
    <w:rsid w:val="00BF799D"/>
    <w:rsid w:val="00C0038F"/>
    <w:rsid w:val="00C034E8"/>
    <w:rsid w:val="00C1028F"/>
    <w:rsid w:val="00C11780"/>
    <w:rsid w:val="00C11B13"/>
    <w:rsid w:val="00C13C8F"/>
    <w:rsid w:val="00C2168B"/>
    <w:rsid w:val="00C21BF7"/>
    <w:rsid w:val="00C248C8"/>
    <w:rsid w:val="00C262E9"/>
    <w:rsid w:val="00C30BAB"/>
    <w:rsid w:val="00C438A2"/>
    <w:rsid w:val="00C468C8"/>
    <w:rsid w:val="00C51CB1"/>
    <w:rsid w:val="00C524D0"/>
    <w:rsid w:val="00C53150"/>
    <w:rsid w:val="00C53E52"/>
    <w:rsid w:val="00C54319"/>
    <w:rsid w:val="00C570C3"/>
    <w:rsid w:val="00C61C7F"/>
    <w:rsid w:val="00C6304A"/>
    <w:rsid w:val="00C640EA"/>
    <w:rsid w:val="00C662D3"/>
    <w:rsid w:val="00C70AB0"/>
    <w:rsid w:val="00C71799"/>
    <w:rsid w:val="00C73071"/>
    <w:rsid w:val="00C73CA6"/>
    <w:rsid w:val="00C7541B"/>
    <w:rsid w:val="00C7557B"/>
    <w:rsid w:val="00C779AD"/>
    <w:rsid w:val="00C81E62"/>
    <w:rsid w:val="00C84A4B"/>
    <w:rsid w:val="00C84CB2"/>
    <w:rsid w:val="00C86D26"/>
    <w:rsid w:val="00C87488"/>
    <w:rsid w:val="00C90331"/>
    <w:rsid w:val="00C9053C"/>
    <w:rsid w:val="00C907F9"/>
    <w:rsid w:val="00C928A7"/>
    <w:rsid w:val="00C93BEC"/>
    <w:rsid w:val="00CA1FC9"/>
    <w:rsid w:val="00CB04F0"/>
    <w:rsid w:val="00CB0FBD"/>
    <w:rsid w:val="00CB49E0"/>
    <w:rsid w:val="00CB7404"/>
    <w:rsid w:val="00CC12D6"/>
    <w:rsid w:val="00CC15CC"/>
    <w:rsid w:val="00CC229F"/>
    <w:rsid w:val="00CC2DBD"/>
    <w:rsid w:val="00CC31B2"/>
    <w:rsid w:val="00CC445E"/>
    <w:rsid w:val="00CC5362"/>
    <w:rsid w:val="00CC7DE7"/>
    <w:rsid w:val="00CD021A"/>
    <w:rsid w:val="00CD5BB9"/>
    <w:rsid w:val="00CD6CD5"/>
    <w:rsid w:val="00CE10C6"/>
    <w:rsid w:val="00CE1266"/>
    <w:rsid w:val="00CE1E68"/>
    <w:rsid w:val="00CF2143"/>
    <w:rsid w:val="00CF48CC"/>
    <w:rsid w:val="00CF526B"/>
    <w:rsid w:val="00CF5C85"/>
    <w:rsid w:val="00D026C5"/>
    <w:rsid w:val="00D02D10"/>
    <w:rsid w:val="00D05BD0"/>
    <w:rsid w:val="00D05DDF"/>
    <w:rsid w:val="00D065C6"/>
    <w:rsid w:val="00D072B5"/>
    <w:rsid w:val="00D11A56"/>
    <w:rsid w:val="00D1271D"/>
    <w:rsid w:val="00D17F45"/>
    <w:rsid w:val="00D20F6C"/>
    <w:rsid w:val="00D24703"/>
    <w:rsid w:val="00D257E4"/>
    <w:rsid w:val="00D321EA"/>
    <w:rsid w:val="00D3239A"/>
    <w:rsid w:val="00D404BD"/>
    <w:rsid w:val="00D43E7F"/>
    <w:rsid w:val="00D47637"/>
    <w:rsid w:val="00D47B08"/>
    <w:rsid w:val="00D5351E"/>
    <w:rsid w:val="00D543D6"/>
    <w:rsid w:val="00D5772C"/>
    <w:rsid w:val="00D60E34"/>
    <w:rsid w:val="00D67D0A"/>
    <w:rsid w:val="00D709F9"/>
    <w:rsid w:val="00D71A64"/>
    <w:rsid w:val="00D736CC"/>
    <w:rsid w:val="00D7594C"/>
    <w:rsid w:val="00D77184"/>
    <w:rsid w:val="00D80155"/>
    <w:rsid w:val="00D82366"/>
    <w:rsid w:val="00D82683"/>
    <w:rsid w:val="00D83709"/>
    <w:rsid w:val="00D841B2"/>
    <w:rsid w:val="00D847AC"/>
    <w:rsid w:val="00D911BE"/>
    <w:rsid w:val="00D95034"/>
    <w:rsid w:val="00D95300"/>
    <w:rsid w:val="00D95657"/>
    <w:rsid w:val="00D97659"/>
    <w:rsid w:val="00DA0339"/>
    <w:rsid w:val="00DB27F5"/>
    <w:rsid w:val="00DB2872"/>
    <w:rsid w:val="00DB3EDC"/>
    <w:rsid w:val="00DB546A"/>
    <w:rsid w:val="00DB7BDD"/>
    <w:rsid w:val="00DC03DE"/>
    <w:rsid w:val="00DC0C95"/>
    <w:rsid w:val="00DC1B50"/>
    <w:rsid w:val="00DC2131"/>
    <w:rsid w:val="00DC2AAB"/>
    <w:rsid w:val="00DC2D45"/>
    <w:rsid w:val="00DC57AD"/>
    <w:rsid w:val="00DC6662"/>
    <w:rsid w:val="00DC7492"/>
    <w:rsid w:val="00DD00F9"/>
    <w:rsid w:val="00DD0BA7"/>
    <w:rsid w:val="00DD2781"/>
    <w:rsid w:val="00DD5023"/>
    <w:rsid w:val="00DE3137"/>
    <w:rsid w:val="00DE3F17"/>
    <w:rsid w:val="00DE4748"/>
    <w:rsid w:val="00DE5A9C"/>
    <w:rsid w:val="00DE7BF4"/>
    <w:rsid w:val="00DF0750"/>
    <w:rsid w:val="00DF0BCF"/>
    <w:rsid w:val="00DF100C"/>
    <w:rsid w:val="00DF110C"/>
    <w:rsid w:val="00DF21AC"/>
    <w:rsid w:val="00DF352A"/>
    <w:rsid w:val="00DF4DED"/>
    <w:rsid w:val="00E0084E"/>
    <w:rsid w:val="00E01076"/>
    <w:rsid w:val="00E010EA"/>
    <w:rsid w:val="00E011D4"/>
    <w:rsid w:val="00E03068"/>
    <w:rsid w:val="00E032B0"/>
    <w:rsid w:val="00E122F0"/>
    <w:rsid w:val="00E128D6"/>
    <w:rsid w:val="00E14FF7"/>
    <w:rsid w:val="00E15B6D"/>
    <w:rsid w:val="00E16373"/>
    <w:rsid w:val="00E168C3"/>
    <w:rsid w:val="00E17228"/>
    <w:rsid w:val="00E247AA"/>
    <w:rsid w:val="00E2536B"/>
    <w:rsid w:val="00E26611"/>
    <w:rsid w:val="00E31D2E"/>
    <w:rsid w:val="00E31F48"/>
    <w:rsid w:val="00E33DAE"/>
    <w:rsid w:val="00E34182"/>
    <w:rsid w:val="00E35210"/>
    <w:rsid w:val="00E35D50"/>
    <w:rsid w:val="00E41ECF"/>
    <w:rsid w:val="00E42664"/>
    <w:rsid w:val="00E43135"/>
    <w:rsid w:val="00E44AE1"/>
    <w:rsid w:val="00E46586"/>
    <w:rsid w:val="00E47ACD"/>
    <w:rsid w:val="00E520CF"/>
    <w:rsid w:val="00E53A7F"/>
    <w:rsid w:val="00E54949"/>
    <w:rsid w:val="00E602EC"/>
    <w:rsid w:val="00E647B9"/>
    <w:rsid w:val="00E7343D"/>
    <w:rsid w:val="00E8390E"/>
    <w:rsid w:val="00E865C2"/>
    <w:rsid w:val="00E86FDC"/>
    <w:rsid w:val="00E87B8E"/>
    <w:rsid w:val="00E90619"/>
    <w:rsid w:val="00E9118F"/>
    <w:rsid w:val="00E95B93"/>
    <w:rsid w:val="00E95DE7"/>
    <w:rsid w:val="00EA0039"/>
    <w:rsid w:val="00EA099C"/>
    <w:rsid w:val="00EA7757"/>
    <w:rsid w:val="00EB06C5"/>
    <w:rsid w:val="00EB1D0C"/>
    <w:rsid w:val="00EB2308"/>
    <w:rsid w:val="00EB266C"/>
    <w:rsid w:val="00EB2EC1"/>
    <w:rsid w:val="00EB752C"/>
    <w:rsid w:val="00EC09B2"/>
    <w:rsid w:val="00EC131D"/>
    <w:rsid w:val="00EC40AE"/>
    <w:rsid w:val="00EC60E2"/>
    <w:rsid w:val="00EC6321"/>
    <w:rsid w:val="00EC69AC"/>
    <w:rsid w:val="00ED24D4"/>
    <w:rsid w:val="00ED334D"/>
    <w:rsid w:val="00ED386A"/>
    <w:rsid w:val="00ED79EC"/>
    <w:rsid w:val="00EE18DF"/>
    <w:rsid w:val="00EE3136"/>
    <w:rsid w:val="00EE4C8B"/>
    <w:rsid w:val="00EE6A28"/>
    <w:rsid w:val="00EE743E"/>
    <w:rsid w:val="00EE74DD"/>
    <w:rsid w:val="00EF09A5"/>
    <w:rsid w:val="00EF7323"/>
    <w:rsid w:val="00EF7A4A"/>
    <w:rsid w:val="00F006AB"/>
    <w:rsid w:val="00F00D51"/>
    <w:rsid w:val="00F02856"/>
    <w:rsid w:val="00F0446D"/>
    <w:rsid w:val="00F045FD"/>
    <w:rsid w:val="00F04EB1"/>
    <w:rsid w:val="00F051CF"/>
    <w:rsid w:val="00F0725D"/>
    <w:rsid w:val="00F10AD3"/>
    <w:rsid w:val="00F1194F"/>
    <w:rsid w:val="00F11B86"/>
    <w:rsid w:val="00F1233A"/>
    <w:rsid w:val="00F1504E"/>
    <w:rsid w:val="00F16BEC"/>
    <w:rsid w:val="00F20C80"/>
    <w:rsid w:val="00F2158C"/>
    <w:rsid w:val="00F2232A"/>
    <w:rsid w:val="00F22C4B"/>
    <w:rsid w:val="00F23E42"/>
    <w:rsid w:val="00F24095"/>
    <w:rsid w:val="00F26D36"/>
    <w:rsid w:val="00F31A7C"/>
    <w:rsid w:val="00F31BCC"/>
    <w:rsid w:val="00F37DD2"/>
    <w:rsid w:val="00F40197"/>
    <w:rsid w:val="00F45B4E"/>
    <w:rsid w:val="00F503EA"/>
    <w:rsid w:val="00F52860"/>
    <w:rsid w:val="00F52D03"/>
    <w:rsid w:val="00F5467E"/>
    <w:rsid w:val="00F55919"/>
    <w:rsid w:val="00F5639F"/>
    <w:rsid w:val="00F601E7"/>
    <w:rsid w:val="00F609D9"/>
    <w:rsid w:val="00F61373"/>
    <w:rsid w:val="00F61F84"/>
    <w:rsid w:val="00F621AE"/>
    <w:rsid w:val="00F634F9"/>
    <w:rsid w:val="00F724EA"/>
    <w:rsid w:val="00F72E17"/>
    <w:rsid w:val="00F7720B"/>
    <w:rsid w:val="00F775EC"/>
    <w:rsid w:val="00F77F46"/>
    <w:rsid w:val="00F81D0D"/>
    <w:rsid w:val="00F830AE"/>
    <w:rsid w:val="00F84B3C"/>
    <w:rsid w:val="00F84BD1"/>
    <w:rsid w:val="00F857C9"/>
    <w:rsid w:val="00F93BD1"/>
    <w:rsid w:val="00F943A1"/>
    <w:rsid w:val="00F95A1D"/>
    <w:rsid w:val="00F965CE"/>
    <w:rsid w:val="00F970EE"/>
    <w:rsid w:val="00FA297E"/>
    <w:rsid w:val="00FA4652"/>
    <w:rsid w:val="00FA49E5"/>
    <w:rsid w:val="00FA4BB8"/>
    <w:rsid w:val="00FA606C"/>
    <w:rsid w:val="00FB06E6"/>
    <w:rsid w:val="00FC0E74"/>
    <w:rsid w:val="00FC0F85"/>
    <w:rsid w:val="00FC258D"/>
    <w:rsid w:val="00FC459E"/>
    <w:rsid w:val="00FC5DA4"/>
    <w:rsid w:val="00FD0F15"/>
    <w:rsid w:val="00FD32F8"/>
    <w:rsid w:val="00FD61B1"/>
    <w:rsid w:val="00FD6871"/>
    <w:rsid w:val="00FE3C75"/>
    <w:rsid w:val="00FE6E94"/>
    <w:rsid w:val="00FF45DB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C52"/>
  <w15:chartTrackingRefBased/>
  <w15:docId w15:val="{AA87C401-829D-4C61-96CF-B58BE05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4F0A5D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4F0A5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F0A5D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4F0A5D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4F0A5D"/>
    <w:pPr>
      <w:spacing w:line="300" w:lineRule="exact"/>
    </w:pPr>
    <w:rPr>
      <w:rFonts w:asciiTheme="minorHAnsi" w:eastAsiaTheme="minorHAnsi" w:hAnsiTheme="minorHAnsi" w:cstheme="minorBidi"/>
      <w:spacing w:val="-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8"/>
    <w:rsid w:val="004F0A5D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4F0A5D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4F0A5D"/>
    <w:rPr>
      <w:color w:val="00ABBC"/>
    </w:rPr>
  </w:style>
  <w:style w:type="paragraph" w:styleId="ListParagraph">
    <w:name w:val="List Paragraph"/>
    <w:aliases w:val="Bullet (Square)"/>
    <w:basedOn w:val="Normal"/>
    <w:link w:val="ListParagraphChar"/>
    <w:uiPriority w:val="34"/>
    <w:qFormat/>
    <w:rsid w:val="004F0A5D"/>
    <w:pPr>
      <w:ind w:left="720"/>
      <w:contextualSpacing/>
    </w:pPr>
  </w:style>
  <w:style w:type="character" w:customStyle="1" w:styleId="ListParagraphChar">
    <w:name w:val="List Paragraph Char"/>
    <w:aliases w:val="Bullet (Square) Char"/>
    <w:basedOn w:val="DefaultParagraphFont"/>
    <w:link w:val="ListParagraph"/>
    <w:uiPriority w:val="34"/>
    <w:locked/>
    <w:rsid w:val="004F0A5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0A5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4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4F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4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F82C2DA5-B62D-4083-8E59-50BE09D198E6}"/>
</file>

<file path=customXml/itemProps2.xml><?xml version="1.0" encoding="utf-8"?>
<ds:datastoreItem xmlns:ds="http://schemas.openxmlformats.org/officeDocument/2006/customXml" ds:itemID="{789BD389-FCD3-4B6F-B181-382920CC8563}"/>
</file>

<file path=customXml/itemProps3.xml><?xml version="1.0" encoding="utf-8"?>
<ds:datastoreItem xmlns:ds="http://schemas.openxmlformats.org/officeDocument/2006/customXml" ds:itemID="{92D398BD-B36E-4AE7-9E7C-03E7A170F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15922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359</cp:revision>
  <cp:lastPrinted>2022-12-06T12:50:00Z</cp:lastPrinted>
  <dcterms:created xsi:type="dcterms:W3CDTF">2023-03-09T08:55:00Z</dcterms:created>
  <dcterms:modified xsi:type="dcterms:W3CDTF">2023-05-11T08:46:00Z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</Properties>
</file>