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B7C0" w14:textId="77777777" w:rsidR="00126070" w:rsidRPr="00814FE9" w:rsidRDefault="00126070" w:rsidP="00126070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2B572501" w14:textId="77777777" w:rsidR="00126070" w:rsidRPr="00814FE9" w:rsidRDefault="00126070" w:rsidP="00126070">
      <w:pPr>
        <w:pStyle w:val="Heading2"/>
        <w:rPr>
          <w:rFonts w:ascii="Arial" w:hAnsi="Arial" w:cs="Arial"/>
        </w:rPr>
      </w:pPr>
    </w:p>
    <w:p w14:paraId="4933728D" w14:textId="77777777" w:rsidR="00126070" w:rsidRPr="00814FE9" w:rsidRDefault="00126070" w:rsidP="00126070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55BE673C" w14:textId="77777777" w:rsidR="00126070" w:rsidRPr="00814FE9" w:rsidRDefault="00126070" w:rsidP="00126070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126070" w:rsidRPr="00814FE9" w14:paraId="2DAECACB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048B44BD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6DD8B543" w14:textId="3B97A778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 w:rsidRPr="00814FE9">
              <w:rPr>
                <w:rFonts w:ascii="Arial" w:hAnsi="Arial" w:cs="Arial"/>
                <w:b/>
                <w:bCs/>
              </w:rPr>
              <w:t>0</w:t>
            </w:r>
            <w:r w:rsidR="00CF1FEF">
              <w:rPr>
                <w:rFonts w:ascii="Arial" w:hAnsi="Arial" w:cs="Arial"/>
                <w:b/>
                <w:bCs/>
              </w:rPr>
              <w:t>2</w:t>
            </w:r>
            <w:r w:rsidRPr="00814FE9">
              <w:rPr>
                <w:rFonts w:ascii="Arial" w:hAnsi="Arial" w:cs="Arial"/>
                <w:b/>
                <w:bCs/>
              </w:rPr>
              <w:t>/</w:t>
            </w:r>
            <w:r w:rsidR="004A1E96">
              <w:rPr>
                <w:rFonts w:ascii="Arial" w:hAnsi="Arial" w:cs="Arial"/>
                <w:b/>
                <w:bCs/>
              </w:rPr>
              <w:t>0</w:t>
            </w:r>
            <w:r w:rsidR="00CF1FEF">
              <w:rPr>
                <w:rFonts w:ascii="Arial" w:hAnsi="Arial" w:cs="Arial"/>
                <w:b/>
                <w:bCs/>
              </w:rPr>
              <w:t>5</w:t>
            </w:r>
            <w:r w:rsidRPr="00814FE9">
              <w:rPr>
                <w:rFonts w:ascii="Arial" w:hAnsi="Arial" w:cs="Arial"/>
                <w:b/>
                <w:bCs/>
              </w:rPr>
              <w:t>/202</w:t>
            </w:r>
            <w:r w:rsidR="004A1E96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126070" w:rsidRPr="00814FE9" w14:paraId="5E78152D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25A6A68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054FB8FA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126070" w:rsidRPr="00814FE9" w14:paraId="24139A2F" w14:textId="77777777" w:rsidTr="00587598">
        <w:trPr>
          <w:trHeight w:val="454"/>
        </w:trPr>
        <w:tc>
          <w:tcPr>
            <w:tcW w:w="2160" w:type="dxa"/>
            <w:vAlign w:val="center"/>
          </w:tcPr>
          <w:p w14:paraId="3FD14EB1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5BC4B2FE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MS Teams Call</w:t>
            </w:r>
          </w:p>
        </w:tc>
      </w:tr>
      <w:tr w:rsidR="00126070" w:rsidRPr="00814FE9" w14:paraId="51522897" w14:textId="77777777" w:rsidTr="00587598">
        <w:trPr>
          <w:trHeight w:val="737"/>
        </w:trPr>
        <w:tc>
          <w:tcPr>
            <w:tcW w:w="2160" w:type="dxa"/>
            <w:vAlign w:val="center"/>
          </w:tcPr>
          <w:p w14:paraId="1F0EC3BC" w14:textId="77777777" w:rsidR="00126070" w:rsidRPr="00814FE9" w:rsidRDefault="00126070" w:rsidP="0058759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1477C1CA" w14:textId="110BA463" w:rsidR="00126070" w:rsidRPr="00814FE9" w:rsidRDefault="00126070" w:rsidP="007A43F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76BA">
              <w:rPr>
                <w:rFonts w:ascii="Arial" w:hAnsi="Arial" w:cs="Arial"/>
                <w:bCs/>
                <w:color w:val="000000" w:themeColor="text1"/>
              </w:rPr>
              <w:t>Ruth Jennings (Chair</w:t>
            </w:r>
            <w:r w:rsidR="00CD37B9">
              <w:rPr>
                <w:rFonts w:ascii="Arial" w:hAnsi="Arial" w:cs="Arial"/>
                <w:bCs/>
                <w:color w:val="000000" w:themeColor="text1"/>
              </w:rPr>
              <w:t>)</w:t>
            </w:r>
            <w:r w:rsidRPr="00D876BA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="004C602B">
              <w:rPr>
                <w:rFonts w:ascii="Arial" w:hAnsi="Arial" w:cs="Arial"/>
                <w:bCs/>
                <w:color w:val="000000" w:themeColor="text1"/>
              </w:rPr>
              <w:t>George Brown (Vice-chair) – SQA Accreditation,</w:t>
            </w:r>
            <w:r w:rsidRPr="00D876BA">
              <w:rPr>
                <w:rFonts w:ascii="Arial" w:hAnsi="Arial" w:cs="Arial"/>
                <w:bCs/>
                <w:color w:val="000000" w:themeColor="text1"/>
              </w:rPr>
              <w:t xml:space="preserve"> Stuart McKenna – STF, </w:t>
            </w:r>
            <w:r w:rsidR="00DD3654">
              <w:rPr>
                <w:rFonts w:ascii="Arial" w:hAnsi="Arial" w:cs="Arial"/>
                <w:bCs/>
                <w:color w:val="000000" w:themeColor="text1"/>
              </w:rPr>
              <w:t xml:space="preserve">Matthew Barr – Glasgow University, </w:t>
            </w:r>
            <w:r w:rsidRPr="00D876BA">
              <w:rPr>
                <w:rFonts w:ascii="Arial" w:hAnsi="Arial" w:cs="Arial"/>
                <w:bCs/>
                <w:color w:val="000000" w:themeColor="text1"/>
              </w:rPr>
              <w:t>Tommy Breslin – STUC</w:t>
            </w:r>
            <w:r w:rsidRPr="00D876B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8D040F" w:rsidRPr="00D876BA">
              <w:rPr>
                <w:rFonts w:ascii="Arial" w:hAnsi="Arial" w:cs="Arial"/>
                <w:bCs/>
                <w:color w:val="000000" w:themeColor="text1"/>
              </w:rPr>
              <w:t xml:space="preserve">Alison Bucknell – FISSS, </w:t>
            </w:r>
            <w:r w:rsidR="004C602B">
              <w:rPr>
                <w:rFonts w:ascii="Arial" w:hAnsi="Arial" w:cs="Arial"/>
                <w:bCs/>
                <w:color w:val="000000" w:themeColor="text1"/>
              </w:rPr>
              <w:t xml:space="preserve">Catherine Ferry – Scottish Government, </w:t>
            </w:r>
            <w:r w:rsidR="008D040F">
              <w:rPr>
                <w:rFonts w:ascii="Arial" w:hAnsi="Arial" w:cs="Arial"/>
                <w:bCs/>
                <w:color w:val="000000" w:themeColor="text1"/>
              </w:rPr>
              <w:t>Nicola Crawford – Education Scotland</w:t>
            </w:r>
            <w:r w:rsidR="00552B40">
              <w:rPr>
                <w:rFonts w:ascii="Arial" w:hAnsi="Arial" w:cs="Arial"/>
                <w:bCs/>
                <w:color w:val="000000" w:themeColor="text1"/>
              </w:rPr>
              <w:t>,</w:t>
            </w:r>
            <w:r w:rsidR="007A260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DD5562">
              <w:rPr>
                <w:rFonts w:ascii="Arial" w:hAnsi="Arial" w:cs="Arial"/>
                <w:color w:val="000000" w:themeColor="text1"/>
              </w:rPr>
              <w:t xml:space="preserve">Terry </w:t>
            </w:r>
            <w:r w:rsidRPr="00D876BA">
              <w:rPr>
                <w:rFonts w:ascii="Arial" w:hAnsi="Arial" w:cs="Arial"/>
                <w:color w:val="000000" w:themeColor="text1"/>
              </w:rPr>
              <w:t>Dillon – SDS</w:t>
            </w:r>
            <w:r w:rsidR="00F625FE" w:rsidRPr="00D876BA">
              <w:rPr>
                <w:rFonts w:ascii="Arial" w:hAnsi="Arial" w:cs="Arial"/>
                <w:color w:val="000000" w:themeColor="text1"/>
              </w:rPr>
              <w:t xml:space="preserve">, Nicola Conner </w:t>
            </w:r>
            <w:r w:rsidR="003169DA" w:rsidRPr="00D876BA">
              <w:rPr>
                <w:rFonts w:ascii="Arial" w:hAnsi="Arial" w:cs="Arial"/>
                <w:color w:val="000000" w:themeColor="text1"/>
              </w:rPr>
              <w:t>–</w:t>
            </w:r>
            <w:r w:rsidR="00F625FE" w:rsidRPr="00D876BA">
              <w:rPr>
                <w:rFonts w:ascii="Arial" w:hAnsi="Arial" w:cs="Arial"/>
                <w:color w:val="000000" w:themeColor="text1"/>
              </w:rPr>
              <w:t xml:space="preserve"> SDS</w:t>
            </w:r>
          </w:p>
        </w:tc>
      </w:tr>
    </w:tbl>
    <w:p w14:paraId="57EC0A43" w14:textId="77777777" w:rsidR="00126070" w:rsidRPr="00814FE9" w:rsidRDefault="00126070" w:rsidP="00126070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1134"/>
      </w:tblGrid>
      <w:tr w:rsidR="00126070" w:rsidRPr="00814FE9" w14:paraId="4DB5FD8E" w14:textId="77777777" w:rsidTr="0041777F">
        <w:trPr>
          <w:trHeight w:val="448"/>
        </w:trPr>
        <w:tc>
          <w:tcPr>
            <w:tcW w:w="8648" w:type="dxa"/>
            <w:gridSpan w:val="2"/>
            <w:shd w:val="clear" w:color="auto" w:fill="FFFFFF" w:themeFill="background1"/>
          </w:tcPr>
          <w:p w14:paraId="15528B47" w14:textId="77777777" w:rsidR="00126070" w:rsidRPr="00814FE9" w:rsidRDefault="00126070" w:rsidP="00E3747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B5DB97" w14:textId="77777777" w:rsidR="00126070" w:rsidRPr="00814FE9" w:rsidRDefault="00126070" w:rsidP="00587598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814FE9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126070" w:rsidRPr="00814FE9" w14:paraId="5D508D3D" w14:textId="77777777" w:rsidTr="0041777F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59CD184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</w:tcPr>
          <w:p w14:paraId="2C299159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9BB3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342F75" w14:paraId="32280642" w14:textId="77777777" w:rsidTr="0041777F">
        <w:tc>
          <w:tcPr>
            <w:tcW w:w="851" w:type="dxa"/>
            <w:shd w:val="clear" w:color="auto" w:fill="FFFFFF" w:themeFill="background1"/>
          </w:tcPr>
          <w:p w14:paraId="76474FF3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F677856" w14:textId="7F34F454" w:rsidR="002E2089" w:rsidRP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Apologies</w:t>
            </w:r>
          </w:p>
          <w:p w14:paraId="706D4EA2" w14:textId="06AE14FA" w:rsidR="000D65ED" w:rsidRDefault="004C602B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Bethany Welsh – Balfour Beatty</w:t>
            </w:r>
          </w:p>
          <w:p w14:paraId="659FFCF7" w14:textId="5049459B" w:rsidR="00DD3654" w:rsidRDefault="00DD3654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D876BA">
              <w:rPr>
                <w:rFonts w:ascii="Arial" w:hAnsi="Arial" w:cs="Arial"/>
                <w:bCs/>
                <w:color w:val="000000" w:themeColor="text1"/>
              </w:rPr>
              <w:t xml:space="preserve">Sheila Dunn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D876BA">
              <w:rPr>
                <w:rFonts w:ascii="Arial" w:hAnsi="Arial" w:cs="Arial"/>
                <w:bCs/>
                <w:color w:val="000000" w:themeColor="text1"/>
              </w:rPr>
              <w:t xml:space="preserve"> SCQF</w:t>
            </w:r>
          </w:p>
          <w:p w14:paraId="2083A80D" w14:textId="77777777" w:rsidR="00DD3654" w:rsidRDefault="00DD3654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Diane Mitchell – West Lothian College</w:t>
            </w:r>
          </w:p>
          <w:p w14:paraId="6712152D" w14:textId="4DD9FC90" w:rsid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Alison Eales – QAA</w:t>
            </w:r>
          </w:p>
          <w:p w14:paraId="26B994BB" w14:textId="77777777" w:rsid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1763E012" w14:textId="77777777" w:rsid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2E2089">
              <w:rPr>
                <w:rFonts w:ascii="Arial" w:hAnsi="Arial" w:cs="Arial"/>
                <w:b/>
                <w:color w:val="000000" w:themeColor="text1"/>
              </w:rPr>
              <w:t>Guests</w:t>
            </w:r>
          </w:p>
          <w:p w14:paraId="2A25AA0B" w14:textId="77777777" w:rsid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Deborah Miller – Skills Development Scotland</w:t>
            </w:r>
          </w:p>
          <w:p w14:paraId="73D36756" w14:textId="77777777" w:rsidR="002E2089" w:rsidRDefault="002E2089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Abigail Kinsella – Skills Development Scotland </w:t>
            </w:r>
          </w:p>
          <w:p w14:paraId="2A0C77F3" w14:textId="77777777" w:rsidR="002E2089" w:rsidRDefault="00823497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Liz Hyslop – Skills Development Scotland </w:t>
            </w:r>
          </w:p>
          <w:p w14:paraId="395CB998" w14:textId="77777777" w:rsidR="00823497" w:rsidRDefault="00276ACE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Keith Spalding – Skills Development Scotland</w:t>
            </w:r>
          </w:p>
          <w:p w14:paraId="3DD45769" w14:textId="166E5A72" w:rsidR="00E31068" w:rsidRPr="00E31068" w:rsidRDefault="00E31068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lang w:val="nl-NL"/>
              </w:rPr>
            </w:pPr>
            <w:r w:rsidRPr="00E31068">
              <w:rPr>
                <w:rFonts w:ascii="Arial" w:hAnsi="Arial" w:cs="Arial"/>
                <w:bCs/>
                <w:lang w:val="nl-NL"/>
              </w:rPr>
              <w:t xml:space="preserve">Helen Allison </w:t>
            </w:r>
            <w:r>
              <w:rPr>
                <w:rFonts w:ascii="Arial" w:hAnsi="Arial" w:cs="Arial"/>
                <w:bCs/>
                <w:lang w:val="nl-NL"/>
              </w:rPr>
              <w:t>–</w:t>
            </w:r>
            <w:r w:rsidRPr="00E31068">
              <w:rPr>
                <w:rFonts w:ascii="Arial" w:hAnsi="Arial" w:cs="Arial"/>
                <w:bCs/>
                <w:lang w:val="nl-NL"/>
              </w:rPr>
              <w:t xml:space="preserve"> </w:t>
            </w:r>
            <w:r>
              <w:rPr>
                <w:rFonts w:ascii="Arial" w:hAnsi="Arial" w:cs="Arial"/>
                <w:bCs/>
                <w:lang w:val="nl-NL"/>
              </w:rPr>
              <w:t xml:space="preserve">Skills Development Scotland </w:t>
            </w:r>
          </w:p>
          <w:p w14:paraId="65158BF1" w14:textId="51A3BE75" w:rsidR="00276ACE" w:rsidRPr="00E31068" w:rsidRDefault="00276ACE" w:rsidP="002B1550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lang w:val="nl-NL"/>
              </w:rPr>
            </w:pPr>
            <w:r w:rsidRPr="00342F75">
              <w:rPr>
                <w:rFonts w:ascii="Arial" w:hAnsi="Arial" w:cs="Arial"/>
                <w:bCs/>
                <w:color w:val="000000" w:themeColor="text1"/>
                <w:lang w:val="nl-NL"/>
              </w:rPr>
              <w:t>Kevin Duguid – Unison</w:t>
            </w:r>
            <w:r w:rsidRPr="00E31068">
              <w:rPr>
                <w:rFonts w:ascii="Arial" w:hAnsi="Arial" w:cs="Arial"/>
                <w:bCs/>
                <w:lang w:val="nl-NL"/>
              </w:rPr>
              <w:t xml:space="preserve"> </w:t>
            </w:r>
            <w:r w:rsidR="00342F75" w:rsidRPr="00E31068">
              <w:rPr>
                <w:rFonts w:ascii="Arial" w:hAnsi="Arial" w:cs="Arial"/>
                <w:bCs/>
                <w:lang w:val="nl-NL"/>
              </w:rPr>
              <w:t>(Observer)</w:t>
            </w:r>
          </w:p>
          <w:p w14:paraId="4916320C" w14:textId="56BAA52E" w:rsidR="00DC7D14" w:rsidRPr="00342F75" w:rsidRDefault="00DC7D14" w:rsidP="00E31068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lang w:val="nl-N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E4CFADF" w14:textId="77777777" w:rsidR="00126070" w:rsidRPr="00342F75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nl-NL"/>
              </w:rPr>
            </w:pPr>
          </w:p>
          <w:p w14:paraId="690BD4EF" w14:textId="77777777" w:rsidR="002266A0" w:rsidRPr="00342F75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nl-NL"/>
              </w:rPr>
            </w:pPr>
          </w:p>
          <w:p w14:paraId="67D8E8C2" w14:textId="32C3A049" w:rsidR="002266A0" w:rsidRPr="00342F75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  <w:lang w:val="nl-NL"/>
              </w:rPr>
            </w:pPr>
          </w:p>
          <w:p w14:paraId="738AE2B4" w14:textId="77777777" w:rsidR="002266A0" w:rsidRPr="00342F75" w:rsidRDefault="002266A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nl-NL"/>
              </w:rPr>
            </w:pPr>
          </w:p>
        </w:tc>
      </w:tr>
      <w:tr w:rsidR="00126070" w:rsidRPr="00814FE9" w14:paraId="19650651" w14:textId="77777777" w:rsidTr="0041777F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4484D6F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38668D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1134" w:type="dxa"/>
            <w:shd w:val="clear" w:color="auto" w:fill="FFFFFF" w:themeFill="background1"/>
          </w:tcPr>
          <w:p w14:paraId="09C3035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126070" w:rsidRPr="00814FE9" w14:paraId="33636BB8" w14:textId="77777777" w:rsidTr="0041777F">
        <w:trPr>
          <w:trHeight w:val="1738"/>
        </w:trPr>
        <w:tc>
          <w:tcPr>
            <w:tcW w:w="851" w:type="dxa"/>
            <w:shd w:val="clear" w:color="auto" w:fill="FFFFFF" w:themeFill="background1"/>
          </w:tcPr>
          <w:p w14:paraId="53B00ABF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D4C3A39" w14:textId="2BED7012" w:rsidR="009432BE" w:rsidRDefault="00F41B08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RJ</w:t>
            </w:r>
            <w:r w:rsidR="000C78B3">
              <w:rPr>
                <w:rFonts w:ascii="Arial" w:hAnsi="Arial" w:cs="Arial"/>
                <w:color w:val="000000" w:themeColor="text1"/>
              </w:rPr>
              <w:t xml:space="preserve"> highlighted that</w:t>
            </w:r>
            <w:r w:rsidR="00426F25">
              <w:rPr>
                <w:rFonts w:ascii="Arial" w:hAnsi="Arial" w:cs="Arial"/>
                <w:color w:val="000000" w:themeColor="text1"/>
              </w:rPr>
              <w:t xml:space="preserve"> following the recent departure of several employers,</w:t>
            </w:r>
            <w:r w:rsidR="000C78B3">
              <w:rPr>
                <w:rFonts w:ascii="Arial" w:hAnsi="Arial" w:cs="Arial"/>
                <w:color w:val="000000" w:themeColor="text1"/>
              </w:rPr>
              <w:t xml:space="preserve"> the group is </w:t>
            </w:r>
            <w:r>
              <w:rPr>
                <w:rFonts w:ascii="Arial" w:hAnsi="Arial" w:cs="Arial"/>
                <w:color w:val="000000" w:themeColor="text1"/>
              </w:rPr>
              <w:t>low on employer representative</w:t>
            </w:r>
            <w:r w:rsidR="009F14DF">
              <w:rPr>
                <w:rFonts w:ascii="Arial" w:hAnsi="Arial" w:cs="Arial"/>
                <w:color w:val="000000" w:themeColor="text1"/>
              </w:rPr>
              <w:t>s.</w:t>
            </w:r>
            <w:r>
              <w:rPr>
                <w:rFonts w:ascii="Arial" w:hAnsi="Arial" w:cs="Arial"/>
                <w:color w:val="000000" w:themeColor="text1"/>
              </w:rPr>
              <w:t xml:space="preserve"> TD and RJ are </w:t>
            </w:r>
            <w:r w:rsidR="00A573B0">
              <w:rPr>
                <w:rFonts w:ascii="Arial" w:hAnsi="Arial" w:cs="Arial"/>
                <w:color w:val="000000" w:themeColor="text1"/>
              </w:rPr>
              <w:t>working with colleagues in the SAAB space</w:t>
            </w:r>
            <w:r>
              <w:rPr>
                <w:rFonts w:ascii="Arial" w:hAnsi="Arial" w:cs="Arial"/>
                <w:color w:val="000000" w:themeColor="text1"/>
              </w:rPr>
              <w:t xml:space="preserve"> to</w:t>
            </w:r>
            <w:r w:rsidR="00A573B0">
              <w:rPr>
                <w:rFonts w:ascii="Arial" w:hAnsi="Arial" w:cs="Arial"/>
                <w:color w:val="000000" w:themeColor="text1"/>
              </w:rPr>
              <w:t xml:space="preserve"> understand how to</w:t>
            </w:r>
            <w:r>
              <w:rPr>
                <w:rFonts w:ascii="Arial" w:hAnsi="Arial" w:cs="Arial"/>
                <w:color w:val="000000" w:themeColor="text1"/>
              </w:rPr>
              <w:t xml:space="preserve"> engage and onboard more employers.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NCr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suggested </w:t>
            </w:r>
            <w:r w:rsidR="009432BE">
              <w:rPr>
                <w:rFonts w:ascii="Arial" w:hAnsi="Arial" w:cs="Arial"/>
                <w:color w:val="000000" w:themeColor="text1"/>
              </w:rPr>
              <w:t>contacting the Chambers of Commerce</w:t>
            </w:r>
            <w:r w:rsidR="0020692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573B0">
              <w:rPr>
                <w:rFonts w:ascii="Arial" w:hAnsi="Arial" w:cs="Arial"/>
                <w:color w:val="000000" w:themeColor="text1"/>
              </w:rPr>
              <w:t>as the</w:t>
            </w:r>
            <w:r w:rsidR="0020692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929" w:rsidRPr="00206929">
              <w:rPr>
                <w:rStyle w:val="ui-provider"/>
                <w:rFonts w:ascii="Arial" w:hAnsi="Arial" w:cs="Arial"/>
              </w:rPr>
              <w:t>Employment and Skills Board runs through this.</w:t>
            </w:r>
          </w:p>
          <w:p w14:paraId="30DCF826" w14:textId="77777777" w:rsidR="009432BE" w:rsidRDefault="009432BE" w:rsidP="00D74B4B">
            <w:pPr>
              <w:tabs>
                <w:tab w:val="left" w:pos="7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Previous minutes </w:t>
            </w:r>
          </w:p>
          <w:p w14:paraId="1814CD59" w14:textId="7BD35448" w:rsidR="00EF6ABB" w:rsidRPr="005E308A" w:rsidRDefault="000C797B" w:rsidP="00D74B4B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Under the </w:t>
            </w:r>
            <w:r w:rsidR="00EF6ABB">
              <w:rPr>
                <w:rFonts w:ascii="Arial" w:hAnsi="Arial" w:cs="Arial"/>
                <w:color w:val="000000" w:themeColor="text1"/>
              </w:rPr>
              <w:t>Equine</w:t>
            </w:r>
            <w:r>
              <w:rPr>
                <w:rFonts w:ascii="Arial" w:hAnsi="Arial" w:cs="Arial"/>
                <w:color w:val="000000" w:themeColor="text1"/>
              </w:rPr>
              <w:t xml:space="preserve"> agenda item</w:t>
            </w:r>
            <w:r w:rsidR="00426F25">
              <w:rPr>
                <w:rFonts w:ascii="Arial" w:hAnsi="Arial" w:cs="Arial"/>
                <w:color w:val="000000" w:themeColor="text1"/>
              </w:rPr>
              <w:t>, members suggested amending wording to ‘</w:t>
            </w:r>
            <w:r w:rsidR="00EF6ABB">
              <w:rPr>
                <w:rFonts w:ascii="Arial" w:hAnsi="Arial" w:cs="Arial"/>
                <w:color w:val="000000" w:themeColor="text1"/>
              </w:rPr>
              <w:t>invite</w:t>
            </w:r>
            <w:r w:rsidR="00426F25">
              <w:rPr>
                <w:rFonts w:ascii="Arial" w:hAnsi="Arial" w:cs="Arial"/>
                <w:color w:val="000000" w:themeColor="text1"/>
              </w:rPr>
              <w:t xml:space="preserve"> union representatives’</w:t>
            </w:r>
            <w:r w:rsidR="00EF6ABB">
              <w:rPr>
                <w:rFonts w:ascii="Arial" w:hAnsi="Arial" w:cs="Arial"/>
                <w:color w:val="000000" w:themeColor="text1"/>
              </w:rPr>
              <w:t xml:space="preserve"> instead of </w:t>
            </w:r>
            <w:r w:rsidR="00426F25">
              <w:rPr>
                <w:rFonts w:ascii="Arial" w:hAnsi="Arial" w:cs="Arial"/>
                <w:color w:val="000000" w:themeColor="text1"/>
              </w:rPr>
              <w:t>‘ensure union representation’</w:t>
            </w:r>
            <w:r w:rsidR="00EF6ABB">
              <w:rPr>
                <w:rFonts w:ascii="Arial" w:hAnsi="Arial" w:cs="Arial"/>
                <w:color w:val="000000" w:themeColor="text1"/>
              </w:rPr>
              <w:t xml:space="preserve">, as there may not be a </w:t>
            </w:r>
            <w:r w:rsidR="007409DC">
              <w:rPr>
                <w:rFonts w:ascii="Arial" w:hAnsi="Arial" w:cs="Arial"/>
                <w:color w:val="000000" w:themeColor="text1"/>
              </w:rPr>
              <w:t>u</w:t>
            </w:r>
            <w:r w:rsidR="00EF6ABB">
              <w:rPr>
                <w:rFonts w:ascii="Arial" w:hAnsi="Arial" w:cs="Arial"/>
                <w:color w:val="000000" w:themeColor="text1"/>
              </w:rPr>
              <w:t>nion representative in th</w:t>
            </w:r>
            <w:r w:rsidR="002E00D8">
              <w:rPr>
                <w:rFonts w:ascii="Arial" w:hAnsi="Arial" w:cs="Arial"/>
                <w:color w:val="000000" w:themeColor="text1"/>
              </w:rPr>
              <w:t xml:space="preserve">is sector. </w:t>
            </w:r>
          </w:p>
          <w:p w14:paraId="5C491AF8" w14:textId="0F0495DE" w:rsidR="0022768F" w:rsidRPr="00D74B4B" w:rsidRDefault="004A559D" w:rsidP="00D74B4B">
            <w:pPr>
              <w:tabs>
                <w:tab w:val="left" w:pos="720"/>
              </w:tabs>
              <w:rPr>
                <w:rFonts w:ascii="Arial" w:hAnsi="Arial" w:cs="Arial"/>
                <w:color w:val="FF0000"/>
              </w:rPr>
            </w:pPr>
            <w:r w:rsidRPr="00E32182">
              <w:rPr>
                <w:rFonts w:ascii="Arial" w:hAnsi="Arial" w:cs="Arial"/>
                <w:b/>
                <w:bCs/>
                <w:color w:val="FF0000"/>
              </w:rPr>
              <w:t xml:space="preserve">TD and NC will </w:t>
            </w:r>
            <w:r w:rsidR="0022768F" w:rsidRPr="00E32182">
              <w:rPr>
                <w:rFonts w:ascii="Arial" w:hAnsi="Arial" w:cs="Arial"/>
                <w:b/>
                <w:bCs/>
                <w:color w:val="FF0000"/>
              </w:rPr>
              <w:t>circulate numbers for Framework uptake for new apprenticeships</w:t>
            </w:r>
            <w:r w:rsidR="00E32182">
              <w:rPr>
                <w:rFonts w:ascii="Arial" w:hAnsi="Arial" w:cs="Arial"/>
                <w:b/>
                <w:bCs/>
                <w:color w:val="FF000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3796E888" w14:textId="1110139E" w:rsidR="004C2469" w:rsidRPr="00814FE9" w:rsidRDefault="004C2469" w:rsidP="000A610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6C78A444" w14:textId="77777777" w:rsidTr="0041777F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0828422C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7797" w:type="dxa"/>
            <w:shd w:val="clear" w:color="auto" w:fill="FFFFFF" w:themeFill="background1"/>
          </w:tcPr>
          <w:p w14:paraId="0B7F3AAD" w14:textId="2BA3AD24" w:rsidR="00126070" w:rsidRPr="00814FE9" w:rsidRDefault="00907D2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 Operating Department Practitioner Update</w:t>
            </w:r>
          </w:p>
        </w:tc>
        <w:tc>
          <w:tcPr>
            <w:tcW w:w="1134" w:type="dxa"/>
            <w:shd w:val="clear" w:color="auto" w:fill="FFFFFF" w:themeFill="background1"/>
          </w:tcPr>
          <w:p w14:paraId="2AFAA42A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126070" w:rsidRPr="00814FE9" w14:paraId="0C2DD772" w14:textId="77777777" w:rsidTr="00E31068">
        <w:trPr>
          <w:trHeight w:val="557"/>
        </w:trPr>
        <w:tc>
          <w:tcPr>
            <w:tcW w:w="851" w:type="dxa"/>
            <w:shd w:val="clear" w:color="auto" w:fill="FFFFFF" w:themeFill="background1"/>
          </w:tcPr>
          <w:p w14:paraId="6B42A9B4" w14:textId="77777777" w:rsidR="00126070" w:rsidRPr="00814FE9" w:rsidRDefault="00126070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01C4E12" w14:textId="48246D4C" w:rsidR="00101742" w:rsidRDefault="00101742" w:rsidP="00D43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D3E3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and AK attended to present an update on the GA for Operating Department Practitioners.</w:t>
            </w:r>
          </w:p>
          <w:p w14:paraId="029E5481" w14:textId="148F8D47" w:rsidR="0007513A" w:rsidRPr="00D43C9A" w:rsidRDefault="00101742" w:rsidP="00D43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DM highlighted that the </w:t>
            </w:r>
            <w:r w:rsidR="0022768F" w:rsidRPr="00D43C9A">
              <w:rPr>
                <w:rFonts w:ascii="Arial" w:hAnsi="Arial" w:cs="Arial"/>
              </w:rPr>
              <w:t>Wider Consultation i</w:t>
            </w:r>
            <w:r w:rsidR="00685554">
              <w:rPr>
                <w:rFonts w:ascii="Arial" w:hAnsi="Arial" w:cs="Arial"/>
              </w:rPr>
              <w:t>s</w:t>
            </w:r>
            <w:r w:rsidR="0022768F" w:rsidRPr="00D43C9A">
              <w:rPr>
                <w:rFonts w:ascii="Arial" w:hAnsi="Arial" w:cs="Arial"/>
              </w:rPr>
              <w:t xml:space="preserve"> live</w:t>
            </w:r>
            <w:r w:rsidR="00D43C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="00D43C9A">
              <w:rPr>
                <w:rFonts w:ascii="Arial" w:hAnsi="Arial" w:cs="Arial"/>
              </w:rPr>
              <w:t>will be open for 3 weeks.</w:t>
            </w:r>
          </w:p>
          <w:p w14:paraId="609B4EDA" w14:textId="4C21E20B" w:rsidR="004A559D" w:rsidRDefault="00101742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DM added that </w:t>
            </w:r>
            <w:r w:rsidR="00747A6B">
              <w:rPr>
                <w:rFonts w:ascii="Arial" w:hAnsi="Arial" w:cs="Arial"/>
                <w:color w:val="000000" w:themeColor="text1"/>
              </w:rPr>
              <w:t xml:space="preserve">44 responses to the wider consultation </w:t>
            </w:r>
            <w:r>
              <w:rPr>
                <w:rFonts w:ascii="Arial" w:hAnsi="Arial" w:cs="Arial"/>
                <w:color w:val="000000" w:themeColor="text1"/>
              </w:rPr>
              <w:t>have been received</w:t>
            </w:r>
            <w:r w:rsidR="00747A6B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from a </w:t>
            </w:r>
            <w:r w:rsidR="004A559D">
              <w:rPr>
                <w:rFonts w:ascii="Arial" w:hAnsi="Arial" w:cs="Arial"/>
                <w:color w:val="000000" w:themeColor="text1"/>
              </w:rPr>
              <w:t>range of individuals (ODPs and other</w:t>
            </w:r>
            <w:r w:rsidR="00685554">
              <w:rPr>
                <w:rFonts w:ascii="Arial" w:hAnsi="Arial" w:cs="Arial"/>
                <w:color w:val="000000" w:themeColor="text1"/>
              </w:rPr>
              <w:t xml:space="preserve"> stakeholders</w:t>
            </w:r>
            <w:r w:rsidR="004A559D">
              <w:rPr>
                <w:rFonts w:ascii="Arial" w:hAnsi="Arial" w:cs="Arial"/>
                <w:color w:val="000000" w:themeColor="text1"/>
              </w:rPr>
              <w:t xml:space="preserve"> in the clinical perioperative space).</w:t>
            </w:r>
            <w:r w:rsidR="0022768F">
              <w:rPr>
                <w:rFonts w:ascii="Arial" w:hAnsi="Arial" w:cs="Arial"/>
                <w:color w:val="000000" w:themeColor="text1"/>
              </w:rPr>
              <w:t xml:space="preserve"> Feedbac</w:t>
            </w:r>
            <w:r w:rsidR="0002324A">
              <w:rPr>
                <w:rFonts w:ascii="Arial" w:hAnsi="Arial" w:cs="Arial"/>
                <w:color w:val="000000" w:themeColor="text1"/>
              </w:rPr>
              <w:t xml:space="preserve">k is mostly positive with </w:t>
            </w:r>
            <w:r w:rsidR="00D43C9A">
              <w:rPr>
                <w:rFonts w:ascii="Arial" w:hAnsi="Arial" w:cs="Arial"/>
                <w:color w:val="000000" w:themeColor="text1"/>
              </w:rPr>
              <w:t>constructive feedback</w:t>
            </w:r>
            <w:r w:rsidR="0068555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43C9A">
              <w:rPr>
                <w:rFonts w:ascii="Arial" w:hAnsi="Arial" w:cs="Arial"/>
                <w:color w:val="000000" w:themeColor="text1"/>
              </w:rPr>
              <w:t xml:space="preserve">which will be worked through </w:t>
            </w:r>
            <w:r w:rsidR="00685554">
              <w:rPr>
                <w:rFonts w:ascii="Arial" w:hAnsi="Arial" w:cs="Arial"/>
                <w:color w:val="000000" w:themeColor="text1"/>
              </w:rPr>
              <w:t xml:space="preserve">alongside </w:t>
            </w:r>
            <w:r w:rsidR="00D43C9A">
              <w:rPr>
                <w:rFonts w:ascii="Arial" w:hAnsi="Arial" w:cs="Arial"/>
                <w:color w:val="000000" w:themeColor="text1"/>
              </w:rPr>
              <w:t>UWS colleagues.</w:t>
            </w:r>
          </w:p>
          <w:p w14:paraId="3B2F9E69" w14:textId="0986EBA3" w:rsidR="0022768F" w:rsidRDefault="00F36329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DM confirmed that a l</w:t>
            </w:r>
            <w:r w:rsidR="0022768F">
              <w:rPr>
                <w:rFonts w:ascii="Arial" w:hAnsi="Arial" w:cs="Arial"/>
                <w:color w:val="000000" w:themeColor="text1"/>
              </w:rPr>
              <w:t>etter of support has been received from HPCP</w:t>
            </w:r>
            <w:r w:rsidR="00F419B6">
              <w:rPr>
                <w:rFonts w:ascii="Arial" w:hAnsi="Arial" w:cs="Arial"/>
                <w:color w:val="000000" w:themeColor="text1"/>
              </w:rPr>
              <w:t xml:space="preserve"> to give reassurance to Health Boards </w:t>
            </w:r>
            <w:r w:rsidR="00C722B3">
              <w:rPr>
                <w:rFonts w:ascii="Arial" w:hAnsi="Arial" w:cs="Arial"/>
                <w:color w:val="000000" w:themeColor="text1"/>
              </w:rPr>
              <w:t>that they</w:t>
            </w:r>
            <w:r w:rsidR="00CD6773">
              <w:rPr>
                <w:rFonts w:ascii="Arial" w:hAnsi="Arial" w:cs="Arial"/>
                <w:color w:val="000000" w:themeColor="text1"/>
              </w:rPr>
              <w:t xml:space="preserve"> can begin preparation for recruitment.</w:t>
            </w:r>
            <w:r w:rsidR="00C722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424D4">
              <w:rPr>
                <w:rFonts w:ascii="Arial" w:hAnsi="Arial" w:cs="Arial"/>
                <w:color w:val="000000" w:themeColor="text1"/>
              </w:rPr>
              <w:t>This has helped address c</w:t>
            </w:r>
            <w:r w:rsidR="00F419B6">
              <w:rPr>
                <w:rFonts w:ascii="Arial" w:hAnsi="Arial" w:cs="Arial"/>
                <w:color w:val="000000" w:themeColor="text1"/>
              </w:rPr>
              <w:t>oncerns</w:t>
            </w:r>
            <w:r w:rsidR="0002324A">
              <w:rPr>
                <w:rFonts w:ascii="Arial" w:hAnsi="Arial" w:cs="Arial"/>
                <w:color w:val="000000" w:themeColor="text1"/>
              </w:rPr>
              <w:t xml:space="preserve"> raised</w:t>
            </w:r>
            <w:r w:rsidR="00F419B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C7364">
              <w:rPr>
                <w:rFonts w:ascii="Arial" w:hAnsi="Arial" w:cs="Arial"/>
                <w:color w:val="000000" w:themeColor="text1"/>
              </w:rPr>
              <w:t>by the development group regarding</w:t>
            </w:r>
            <w:r w:rsidR="00F419B6">
              <w:rPr>
                <w:rFonts w:ascii="Arial" w:hAnsi="Arial" w:cs="Arial"/>
                <w:color w:val="000000" w:themeColor="text1"/>
              </w:rPr>
              <w:t xml:space="preserve"> the </w:t>
            </w:r>
            <w:r w:rsidR="0002324A">
              <w:rPr>
                <w:rFonts w:ascii="Arial" w:hAnsi="Arial" w:cs="Arial"/>
                <w:color w:val="000000" w:themeColor="text1"/>
              </w:rPr>
              <w:t xml:space="preserve">timescales for </w:t>
            </w:r>
            <w:r w:rsidR="00581A22">
              <w:rPr>
                <w:rFonts w:ascii="Arial" w:hAnsi="Arial" w:cs="Arial"/>
                <w:color w:val="000000" w:themeColor="text1"/>
              </w:rPr>
              <w:t>completing recruitment activity</w:t>
            </w:r>
            <w:r w:rsidR="0002324A">
              <w:rPr>
                <w:rFonts w:ascii="Arial" w:hAnsi="Arial" w:cs="Arial"/>
                <w:color w:val="000000" w:themeColor="text1"/>
              </w:rPr>
              <w:t xml:space="preserve"> in time for the September start date.</w:t>
            </w:r>
          </w:p>
          <w:p w14:paraId="77D3195F" w14:textId="65DF3D96" w:rsidR="00D43C9A" w:rsidRDefault="00D43C9A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DM clarified that the learning provider for this development is UWS, however the wider consultation </w:t>
            </w:r>
            <w:r w:rsidR="007D687E">
              <w:rPr>
                <w:rFonts w:ascii="Arial" w:hAnsi="Arial" w:cs="Arial"/>
                <w:color w:val="000000" w:themeColor="text1"/>
              </w:rPr>
              <w:t>provides opportunity for other universities to feedback, should the</w:t>
            </w:r>
            <w:r w:rsidR="00CD6773">
              <w:rPr>
                <w:rFonts w:ascii="Arial" w:hAnsi="Arial" w:cs="Arial"/>
                <w:color w:val="000000" w:themeColor="text1"/>
              </w:rPr>
              <w:t>y</w:t>
            </w:r>
            <w:r w:rsidR="007D687E">
              <w:rPr>
                <w:rFonts w:ascii="Arial" w:hAnsi="Arial" w:cs="Arial"/>
                <w:color w:val="000000" w:themeColor="text1"/>
              </w:rPr>
              <w:t xml:space="preserve"> want to deliver this</w:t>
            </w:r>
            <w:r w:rsidR="00CD6773">
              <w:rPr>
                <w:rFonts w:ascii="Arial" w:hAnsi="Arial" w:cs="Arial"/>
                <w:color w:val="000000" w:themeColor="text1"/>
              </w:rPr>
              <w:t xml:space="preserve"> GA</w:t>
            </w:r>
            <w:r w:rsidR="007D687E">
              <w:rPr>
                <w:rFonts w:ascii="Arial" w:hAnsi="Arial" w:cs="Arial"/>
                <w:color w:val="000000" w:themeColor="text1"/>
              </w:rPr>
              <w:t xml:space="preserve"> in the future.</w:t>
            </w:r>
          </w:p>
          <w:p w14:paraId="2F90C478" w14:textId="1D07BAD2" w:rsidR="00B9085F" w:rsidRDefault="00756306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Members </w:t>
            </w:r>
            <w:r w:rsidR="00B9085F">
              <w:rPr>
                <w:rFonts w:ascii="Arial" w:hAnsi="Arial" w:cs="Arial"/>
                <w:color w:val="000000" w:themeColor="text1"/>
              </w:rPr>
              <w:t>raised t</w:t>
            </w:r>
            <w:r w:rsidR="009548E4">
              <w:rPr>
                <w:rFonts w:ascii="Arial" w:hAnsi="Arial" w:cs="Arial"/>
                <w:color w:val="000000" w:themeColor="text1"/>
              </w:rPr>
              <w:t>h</w:t>
            </w:r>
            <w:r w:rsidR="008A7281">
              <w:rPr>
                <w:rFonts w:ascii="Arial" w:hAnsi="Arial" w:cs="Arial"/>
                <w:color w:val="000000" w:themeColor="text1"/>
              </w:rPr>
              <w:t xml:space="preserve">at the achievement of a Graduate Apprenticeship may </w:t>
            </w:r>
            <w:r w:rsidR="00754485">
              <w:rPr>
                <w:rFonts w:ascii="Arial" w:hAnsi="Arial" w:cs="Arial"/>
                <w:color w:val="000000" w:themeColor="text1"/>
              </w:rPr>
              <w:t xml:space="preserve">be lost </w:t>
            </w:r>
            <w:r w:rsidR="00C666FA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114DE0">
              <w:rPr>
                <w:rFonts w:ascii="Arial" w:hAnsi="Arial" w:cs="Arial"/>
                <w:color w:val="000000" w:themeColor="text1"/>
              </w:rPr>
              <w:t xml:space="preserve">the final award achieved by learners is titled as a </w:t>
            </w:r>
            <w:r w:rsidR="00754485">
              <w:rPr>
                <w:rFonts w:ascii="Arial" w:hAnsi="Arial" w:cs="Arial"/>
                <w:color w:val="000000" w:themeColor="text1"/>
              </w:rPr>
              <w:t>BSc in Operating Department Practice</w:t>
            </w:r>
            <w:r w:rsidR="00A40AC6">
              <w:rPr>
                <w:rFonts w:ascii="Arial" w:hAnsi="Arial" w:cs="Arial"/>
                <w:color w:val="000000" w:themeColor="text1"/>
              </w:rPr>
              <w:t xml:space="preserve">. Members felt it would be </w:t>
            </w:r>
            <w:r w:rsidR="00BF4120">
              <w:rPr>
                <w:rFonts w:ascii="Arial" w:hAnsi="Arial" w:cs="Arial"/>
                <w:color w:val="000000" w:themeColor="text1"/>
              </w:rPr>
              <w:t xml:space="preserve">appropriate to ensure the achievement of a GA is represented in the final award. Members added </w:t>
            </w:r>
            <w:r w:rsidR="000964F5">
              <w:rPr>
                <w:rFonts w:ascii="Arial" w:hAnsi="Arial" w:cs="Arial"/>
                <w:color w:val="000000" w:themeColor="text1"/>
              </w:rPr>
              <w:t xml:space="preserve">that it would be </w:t>
            </w:r>
            <w:r w:rsidR="001C21EE">
              <w:rPr>
                <w:rFonts w:ascii="Arial" w:hAnsi="Arial" w:cs="Arial"/>
                <w:color w:val="000000" w:themeColor="text1"/>
              </w:rPr>
              <w:t>useful for stakeholders to</w:t>
            </w:r>
            <w:r w:rsidR="002E5FEC">
              <w:rPr>
                <w:rFonts w:ascii="Arial" w:hAnsi="Arial" w:cs="Arial"/>
                <w:color w:val="000000" w:themeColor="text1"/>
              </w:rPr>
              <w:t xml:space="preserve"> understand the differences between a BSc achieved through a GA and a BSc achieved through a regular degree.</w:t>
            </w:r>
            <w:r w:rsidR="00BE1E0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F01A85B" w14:textId="2BC06146" w:rsidR="00663C12" w:rsidRDefault="00663C12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RJ </w:t>
            </w:r>
            <w:r w:rsidR="00005CA9">
              <w:rPr>
                <w:rFonts w:ascii="Arial" w:hAnsi="Arial" w:cs="Arial"/>
                <w:color w:val="000000" w:themeColor="text1"/>
              </w:rPr>
              <w:t xml:space="preserve">flagged that </w:t>
            </w:r>
            <w:r w:rsidR="004F5D59">
              <w:rPr>
                <w:rFonts w:ascii="Arial" w:hAnsi="Arial" w:cs="Arial"/>
                <w:color w:val="000000" w:themeColor="text1"/>
              </w:rPr>
              <w:t>a</w:t>
            </w:r>
            <w:r w:rsidR="00005CA9">
              <w:rPr>
                <w:rFonts w:ascii="Arial" w:hAnsi="Arial" w:cs="Arial"/>
                <w:color w:val="000000" w:themeColor="text1"/>
              </w:rPr>
              <w:t xml:space="preserve"> GA </w:t>
            </w:r>
            <w:r w:rsidR="004F5D59">
              <w:rPr>
                <w:rFonts w:ascii="Arial" w:hAnsi="Arial" w:cs="Arial"/>
                <w:color w:val="000000" w:themeColor="text1"/>
              </w:rPr>
              <w:t>E</w:t>
            </w:r>
            <w:r w:rsidR="00005CA9">
              <w:rPr>
                <w:rFonts w:ascii="Arial" w:hAnsi="Arial" w:cs="Arial"/>
                <w:color w:val="000000" w:themeColor="text1"/>
              </w:rPr>
              <w:t xml:space="preserve">nhancement </w:t>
            </w:r>
            <w:r w:rsidR="004F5D59">
              <w:rPr>
                <w:rFonts w:ascii="Arial" w:hAnsi="Arial" w:cs="Arial"/>
                <w:color w:val="000000" w:themeColor="text1"/>
              </w:rPr>
              <w:t>G</w:t>
            </w:r>
            <w:r w:rsidR="00005CA9">
              <w:rPr>
                <w:rFonts w:ascii="Arial" w:hAnsi="Arial" w:cs="Arial"/>
                <w:color w:val="000000" w:themeColor="text1"/>
              </w:rPr>
              <w:t>roup</w:t>
            </w:r>
            <w:r w:rsidR="004F5D59">
              <w:rPr>
                <w:rFonts w:ascii="Arial" w:hAnsi="Arial" w:cs="Arial"/>
                <w:color w:val="000000" w:themeColor="text1"/>
              </w:rPr>
              <w:t xml:space="preserve"> is being formed</w:t>
            </w:r>
            <w:r w:rsidR="00005CA9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7E5E79">
              <w:rPr>
                <w:rFonts w:ascii="Arial" w:hAnsi="Arial" w:cs="Arial"/>
                <w:color w:val="000000" w:themeColor="text1"/>
              </w:rPr>
              <w:t xml:space="preserve">the purpose of which will be to look at areas like those raised by </w:t>
            </w:r>
            <w:r w:rsidR="004C0ADE">
              <w:rPr>
                <w:rFonts w:ascii="Arial" w:hAnsi="Arial" w:cs="Arial"/>
                <w:color w:val="000000" w:themeColor="text1"/>
              </w:rPr>
              <w:t>members and</w:t>
            </w:r>
            <w:r w:rsidR="007E5E79">
              <w:rPr>
                <w:rFonts w:ascii="Arial" w:hAnsi="Arial" w:cs="Arial"/>
                <w:color w:val="000000" w:themeColor="text1"/>
              </w:rPr>
              <w:t xml:space="preserve"> implement ways to</w:t>
            </w:r>
            <w:r w:rsidR="00A34533">
              <w:rPr>
                <w:rFonts w:ascii="Arial" w:hAnsi="Arial" w:cs="Arial"/>
                <w:color w:val="000000" w:themeColor="text1"/>
              </w:rPr>
              <w:t xml:space="preserve"> better</w:t>
            </w:r>
            <w:r w:rsidR="007E5E79">
              <w:rPr>
                <w:rFonts w:ascii="Arial" w:hAnsi="Arial" w:cs="Arial"/>
                <w:color w:val="000000" w:themeColor="text1"/>
              </w:rPr>
              <w:t xml:space="preserve"> promote </w:t>
            </w:r>
            <w:r w:rsidR="004C0ADE">
              <w:rPr>
                <w:rFonts w:ascii="Arial" w:hAnsi="Arial" w:cs="Arial"/>
                <w:color w:val="000000" w:themeColor="text1"/>
              </w:rPr>
              <w:t xml:space="preserve">GAs. </w:t>
            </w:r>
          </w:p>
          <w:p w14:paraId="10E3B7E5" w14:textId="0863D2D4" w:rsidR="00C42A64" w:rsidRPr="005D5492" w:rsidRDefault="00C42A64" w:rsidP="00AC45A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D5492">
              <w:rPr>
                <w:rFonts w:ascii="Arial" w:hAnsi="Arial" w:cs="Arial"/>
                <w:b/>
                <w:bCs/>
                <w:color w:val="FF0000"/>
              </w:rPr>
              <w:t>CF to link TB with SG colleague who is leading on this group.</w:t>
            </w:r>
          </w:p>
          <w:p w14:paraId="335D0B6C" w14:textId="06409C07" w:rsidR="00663C12" w:rsidRDefault="00C42A64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Members </w:t>
            </w:r>
            <w:r w:rsidR="00A83641">
              <w:rPr>
                <w:rFonts w:ascii="Arial" w:hAnsi="Arial" w:cs="Arial"/>
                <w:color w:val="000000" w:themeColor="text1"/>
              </w:rPr>
              <w:t>highlighted that terms and conditions will need to be agreed</w:t>
            </w:r>
            <w:r w:rsidR="008C2623">
              <w:rPr>
                <w:rFonts w:ascii="Arial" w:hAnsi="Arial" w:cs="Arial"/>
                <w:color w:val="000000" w:themeColor="text1"/>
              </w:rPr>
              <w:t xml:space="preserve"> before adverts can be published.</w:t>
            </w:r>
            <w:r w:rsidR="001F7E2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34B6">
              <w:rPr>
                <w:rFonts w:ascii="Arial" w:hAnsi="Arial" w:cs="Arial"/>
                <w:color w:val="000000" w:themeColor="text1"/>
              </w:rPr>
              <w:t>Members added that t</w:t>
            </w:r>
            <w:r w:rsidR="00B87C82">
              <w:rPr>
                <w:rFonts w:ascii="Arial" w:hAnsi="Arial" w:cs="Arial"/>
                <w:color w:val="000000" w:themeColor="text1"/>
              </w:rPr>
              <w:t>here may be</w:t>
            </w:r>
            <w:r w:rsidR="001F7E2B">
              <w:rPr>
                <w:rFonts w:ascii="Arial" w:hAnsi="Arial" w:cs="Arial"/>
                <w:color w:val="000000" w:themeColor="text1"/>
              </w:rPr>
              <w:t xml:space="preserve"> concerns over</w:t>
            </w:r>
            <w:r w:rsidR="00C8776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94B02">
              <w:rPr>
                <w:rFonts w:ascii="Arial" w:hAnsi="Arial" w:cs="Arial"/>
                <w:color w:val="000000" w:themeColor="text1"/>
              </w:rPr>
              <w:t xml:space="preserve">recruitment </w:t>
            </w:r>
            <w:r w:rsidR="00C8776B">
              <w:rPr>
                <w:rFonts w:ascii="Arial" w:hAnsi="Arial" w:cs="Arial"/>
                <w:color w:val="000000" w:themeColor="text1"/>
              </w:rPr>
              <w:t xml:space="preserve">adverts going </w:t>
            </w:r>
            <w:r w:rsidR="008572A6">
              <w:rPr>
                <w:rFonts w:ascii="Arial" w:hAnsi="Arial" w:cs="Arial"/>
                <w:color w:val="000000" w:themeColor="text1"/>
              </w:rPr>
              <w:t xml:space="preserve">out </w:t>
            </w:r>
            <w:r w:rsidR="00D94B02">
              <w:rPr>
                <w:rFonts w:ascii="Arial" w:hAnsi="Arial" w:cs="Arial"/>
                <w:color w:val="000000" w:themeColor="text1"/>
              </w:rPr>
              <w:t xml:space="preserve">before these conditions have been set. </w:t>
            </w:r>
            <w:r w:rsidR="008572A6">
              <w:rPr>
                <w:rFonts w:ascii="Arial" w:hAnsi="Arial" w:cs="Arial"/>
                <w:color w:val="000000" w:themeColor="text1"/>
              </w:rPr>
              <w:t>DM agreed and highlighted that t</w:t>
            </w:r>
            <w:r w:rsidR="00D877AB">
              <w:rPr>
                <w:rFonts w:ascii="Arial" w:hAnsi="Arial" w:cs="Arial"/>
                <w:color w:val="000000" w:themeColor="text1"/>
              </w:rPr>
              <w:t>hese conversations</w:t>
            </w:r>
            <w:r w:rsidR="00B87C82">
              <w:rPr>
                <w:rFonts w:ascii="Arial" w:hAnsi="Arial" w:cs="Arial"/>
                <w:color w:val="000000" w:themeColor="text1"/>
              </w:rPr>
              <w:t xml:space="preserve"> are out</w:t>
            </w:r>
            <w:r w:rsidR="002C0811">
              <w:rPr>
                <w:rFonts w:ascii="Arial" w:hAnsi="Arial" w:cs="Arial"/>
                <w:color w:val="000000" w:themeColor="text1"/>
              </w:rPr>
              <w:t>-</w:t>
            </w:r>
            <w:r w:rsidR="00B87C82">
              <w:rPr>
                <w:rFonts w:ascii="Arial" w:hAnsi="Arial" w:cs="Arial"/>
                <w:color w:val="000000" w:themeColor="text1"/>
              </w:rPr>
              <w:t>with the remit of the development group and</w:t>
            </w:r>
            <w:r w:rsidR="00D877AB">
              <w:rPr>
                <w:rFonts w:ascii="Arial" w:hAnsi="Arial" w:cs="Arial"/>
                <w:color w:val="000000" w:themeColor="text1"/>
              </w:rPr>
              <w:t xml:space="preserve"> are for NHS </w:t>
            </w:r>
            <w:r w:rsidR="00262DC6">
              <w:rPr>
                <w:rFonts w:ascii="Arial" w:hAnsi="Arial" w:cs="Arial"/>
                <w:color w:val="000000" w:themeColor="text1"/>
              </w:rPr>
              <w:t xml:space="preserve">colleagues to have and agree in advance </w:t>
            </w:r>
            <w:r w:rsidR="00B57F56">
              <w:rPr>
                <w:rFonts w:ascii="Arial" w:hAnsi="Arial" w:cs="Arial"/>
                <w:color w:val="000000" w:themeColor="text1"/>
              </w:rPr>
              <w:t>of</w:t>
            </w:r>
            <w:r w:rsidR="00C8776B">
              <w:rPr>
                <w:rFonts w:ascii="Arial" w:hAnsi="Arial" w:cs="Arial"/>
                <w:color w:val="000000" w:themeColor="text1"/>
              </w:rPr>
              <w:t xml:space="preserve"> beginning recruitment.</w:t>
            </w:r>
            <w:r w:rsidR="00CB0E73">
              <w:rPr>
                <w:rFonts w:ascii="Arial" w:hAnsi="Arial" w:cs="Arial"/>
                <w:color w:val="000000" w:themeColor="text1"/>
              </w:rPr>
              <w:t xml:space="preserve"> DM assured the group that these discussions are ongoing.</w:t>
            </w:r>
          </w:p>
          <w:p w14:paraId="6EF4C035" w14:textId="67AB1A42" w:rsidR="008C2623" w:rsidRDefault="008C2623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Members asked if the entry requirements will be changing based on</w:t>
            </w:r>
            <w:r w:rsidR="00A14647">
              <w:rPr>
                <w:rFonts w:ascii="Arial" w:hAnsi="Arial" w:cs="Arial"/>
                <w:color w:val="000000" w:themeColor="text1"/>
              </w:rPr>
              <w:t xml:space="preserve"> the higher qualification</w:t>
            </w:r>
            <w:r w:rsidR="005E34C8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A14647">
              <w:rPr>
                <w:rFonts w:ascii="Arial" w:hAnsi="Arial" w:cs="Arial"/>
                <w:color w:val="000000" w:themeColor="text1"/>
              </w:rPr>
              <w:t xml:space="preserve">DM confirmed that UWS are keen not to restrict entry or </w:t>
            </w:r>
            <w:r w:rsidR="00CD503A">
              <w:rPr>
                <w:rFonts w:ascii="Arial" w:hAnsi="Arial" w:cs="Arial"/>
                <w:color w:val="000000" w:themeColor="text1"/>
              </w:rPr>
              <w:t xml:space="preserve">introduce </w:t>
            </w:r>
            <w:r w:rsidR="00D149AE">
              <w:rPr>
                <w:rFonts w:ascii="Arial" w:hAnsi="Arial" w:cs="Arial"/>
                <w:color w:val="000000" w:themeColor="text1"/>
              </w:rPr>
              <w:t xml:space="preserve">additional </w:t>
            </w:r>
            <w:r w:rsidR="00A14647">
              <w:rPr>
                <w:rFonts w:ascii="Arial" w:hAnsi="Arial" w:cs="Arial"/>
                <w:color w:val="000000" w:themeColor="text1"/>
              </w:rPr>
              <w:t xml:space="preserve">barriers </w:t>
            </w:r>
            <w:r w:rsidR="008A53B1">
              <w:rPr>
                <w:rFonts w:ascii="Arial" w:hAnsi="Arial" w:cs="Arial"/>
                <w:color w:val="000000" w:themeColor="text1"/>
              </w:rPr>
              <w:t>to entry</w:t>
            </w:r>
            <w:r w:rsidR="00C952C7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02498">
              <w:rPr>
                <w:rFonts w:ascii="Arial" w:hAnsi="Arial" w:cs="Arial"/>
                <w:color w:val="000000" w:themeColor="text1"/>
              </w:rPr>
              <w:t>Members noted the di</w:t>
            </w:r>
            <w:r w:rsidR="00D43B6E">
              <w:rPr>
                <w:rFonts w:ascii="Arial" w:hAnsi="Arial" w:cs="Arial"/>
                <w:color w:val="000000" w:themeColor="text1"/>
              </w:rPr>
              <w:t>sparity</w:t>
            </w:r>
            <w:r w:rsidR="0090249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43B6E">
              <w:rPr>
                <w:rFonts w:ascii="Arial" w:hAnsi="Arial" w:cs="Arial"/>
                <w:color w:val="000000" w:themeColor="text1"/>
              </w:rPr>
              <w:t xml:space="preserve">between the </w:t>
            </w:r>
            <w:r w:rsidR="00902498">
              <w:rPr>
                <w:rFonts w:ascii="Arial" w:hAnsi="Arial" w:cs="Arial"/>
                <w:color w:val="000000" w:themeColor="text1"/>
              </w:rPr>
              <w:t>Scottish and English qualification requirements</w:t>
            </w:r>
            <w:r w:rsidR="00E21639">
              <w:rPr>
                <w:rFonts w:ascii="Arial" w:hAnsi="Arial" w:cs="Arial"/>
                <w:color w:val="000000" w:themeColor="text1"/>
              </w:rPr>
              <w:t xml:space="preserve"> in the documentation</w:t>
            </w:r>
            <w:r w:rsidR="00D43B6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902498">
              <w:rPr>
                <w:rFonts w:ascii="Arial" w:hAnsi="Arial" w:cs="Arial"/>
                <w:color w:val="000000" w:themeColor="text1"/>
              </w:rPr>
              <w:t xml:space="preserve">this was raised </w:t>
            </w:r>
            <w:r w:rsidR="00D43B6E">
              <w:rPr>
                <w:rFonts w:ascii="Arial" w:hAnsi="Arial" w:cs="Arial"/>
                <w:color w:val="000000" w:themeColor="text1"/>
              </w:rPr>
              <w:t>by the development group</w:t>
            </w:r>
            <w:r w:rsidR="00902498">
              <w:rPr>
                <w:rFonts w:ascii="Arial" w:hAnsi="Arial" w:cs="Arial"/>
                <w:color w:val="000000" w:themeColor="text1"/>
              </w:rPr>
              <w:t xml:space="preserve"> and is being addressed by UWS.</w:t>
            </w:r>
          </w:p>
          <w:p w14:paraId="5930D8F2" w14:textId="3349F82C" w:rsidR="00663C12" w:rsidRDefault="00832C20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Members </w:t>
            </w:r>
            <w:r w:rsidR="007566B6">
              <w:rPr>
                <w:rFonts w:ascii="Arial" w:hAnsi="Arial" w:cs="Arial"/>
                <w:color w:val="000000" w:themeColor="text1"/>
              </w:rPr>
              <w:t>questioned RPL and whether previous experience will be considered in place of specified qualifications. DM confirmed this and added that the</w:t>
            </w:r>
            <w:r w:rsidR="001F7E2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566B6">
              <w:rPr>
                <w:rFonts w:ascii="Arial" w:hAnsi="Arial" w:cs="Arial"/>
                <w:color w:val="000000" w:themeColor="text1"/>
              </w:rPr>
              <w:t xml:space="preserve">approach to RPL </w:t>
            </w:r>
            <w:r w:rsidR="001F7E2B">
              <w:rPr>
                <w:rFonts w:ascii="Arial" w:hAnsi="Arial" w:cs="Arial"/>
                <w:color w:val="000000" w:themeColor="text1"/>
              </w:rPr>
              <w:t>will be flexible</w:t>
            </w:r>
            <w:r w:rsidR="00273DEE">
              <w:rPr>
                <w:rFonts w:ascii="Arial" w:hAnsi="Arial" w:cs="Arial"/>
                <w:color w:val="000000" w:themeColor="text1"/>
              </w:rPr>
              <w:t xml:space="preserve"> and reviewed by UWS on a </w:t>
            </w:r>
            <w:r w:rsidR="00EB6F5B">
              <w:rPr>
                <w:rFonts w:ascii="Arial" w:hAnsi="Arial" w:cs="Arial"/>
                <w:color w:val="000000" w:themeColor="text1"/>
              </w:rPr>
              <w:t>case-by-case</w:t>
            </w:r>
            <w:r w:rsidR="00273DEE">
              <w:rPr>
                <w:rFonts w:ascii="Arial" w:hAnsi="Arial" w:cs="Arial"/>
                <w:color w:val="000000" w:themeColor="text1"/>
              </w:rPr>
              <w:t xml:space="preserve"> basis.</w:t>
            </w:r>
          </w:p>
          <w:p w14:paraId="49431DCF" w14:textId="51C64E67" w:rsidR="00527705" w:rsidRPr="000D1AC2" w:rsidRDefault="0086073D" w:rsidP="00AC45A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DM updated that they </w:t>
            </w:r>
            <w:r w:rsidR="00F909C5">
              <w:rPr>
                <w:rFonts w:ascii="Arial" w:hAnsi="Arial" w:cs="Arial"/>
                <w:color w:val="000000" w:themeColor="text1"/>
              </w:rPr>
              <w:t>plan to submit</w:t>
            </w:r>
            <w:r>
              <w:rPr>
                <w:rFonts w:ascii="Arial" w:hAnsi="Arial" w:cs="Arial"/>
                <w:color w:val="000000" w:themeColor="text1"/>
              </w:rPr>
              <w:t xml:space="preserve"> to AAG Subgroup in </w:t>
            </w:r>
            <w:r w:rsidR="00E31068">
              <w:rPr>
                <w:rFonts w:ascii="Arial" w:hAnsi="Arial" w:cs="Arial"/>
                <w:color w:val="000000" w:themeColor="text1"/>
              </w:rPr>
              <w:t>May</w:t>
            </w:r>
            <w:r w:rsidR="00F909C5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7D9B173B" w14:textId="77777777" w:rsidR="0041777F" w:rsidRPr="007F7021" w:rsidRDefault="0041777F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A2B5A24" w14:textId="02CB27EA" w:rsidR="0041777F" w:rsidRPr="007F7021" w:rsidRDefault="0041777F" w:rsidP="0058759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5B068218" w14:textId="77777777" w:rsidTr="0041777F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55AEE503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</w:tcPr>
          <w:p w14:paraId="31949190" w14:textId="472445DA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Equine (Self-developed) Apprenticeship - Stage Gate 1 </w:t>
            </w:r>
          </w:p>
        </w:tc>
        <w:tc>
          <w:tcPr>
            <w:tcW w:w="1134" w:type="dxa"/>
            <w:shd w:val="clear" w:color="auto" w:fill="FFFFFF" w:themeFill="background1"/>
          </w:tcPr>
          <w:p w14:paraId="2BA1034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3E88D203" w14:textId="77777777" w:rsidTr="00CE060D">
        <w:trPr>
          <w:trHeight w:val="7056"/>
        </w:trPr>
        <w:tc>
          <w:tcPr>
            <w:tcW w:w="851" w:type="dxa"/>
            <w:shd w:val="clear" w:color="auto" w:fill="FFFFFF" w:themeFill="background1"/>
          </w:tcPr>
          <w:p w14:paraId="23B9B66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346091C" w14:textId="0333B3DA" w:rsidR="004F00FC" w:rsidRDefault="00842A9E" w:rsidP="004F0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presented Stage Gate 1 for</w:t>
            </w:r>
            <w:r w:rsidR="00F909C5">
              <w:rPr>
                <w:rFonts w:ascii="Arial" w:hAnsi="Arial" w:cs="Arial"/>
              </w:rPr>
              <w:t xml:space="preserve"> </w:t>
            </w:r>
            <w:r w:rsidR="005A5411">
              <w:rPr>
                <w:rFonts w:ascii="Arial" w:hAnsi="Arial" w:cs="Arial"/>
              </w:rPr>
              <w:t xml:space="preserve">the </w:t>
            </w:r>
            <w:r w:rsidR="00F909C5">
              <w:rPr>
                <w:rFonts w:ascii="Arial" w:hAnsi="Arial" w:cs="Arial"/>
              </w:rPr>
              <w:t>Equine</w:t>
            </w:r>
            <w:r w:rsidR="005A5411">
              <w:rPr>
                <w:rFonts w:ascii="Arial" w:hAnsi="Arial" w:cs="Arial"/>
              </w:rPr>
              <w:t xml:space="preserve"> development.</w:t>
            </w:r>
            <w:r w:rsidR="00F909C5">
              <w:rPr>
                <w:rFonts w:ascii="Arial" w:hAnsi="Arial" w:cs="Arial"/>
              </w:rPr>
              <w:t xml:space="preserve"> </w:t>
            </w:r>
          </w:p>
          <w:p w14:paraId="3B6931D6" w14:textId="17921B92" w:rsidR="00F909C5" w:rsidRDefault="00F909C5" w:rsidP="004F0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 </w:t>
            </w:r>
            <w:r w:rsidR="0085137A">
              <w:rPr>
                <w:rFonts w:ascii="Arial" w:hAnsi="Arial" w:cs="Arial"/>
              </w:rPr>
              <w:t>confirmed</w:t>
            </w:r>
            <w:r>
              <w:rPr>
                <w:rFonts w:ascii="Arial" w:hAnsi="Arial" w:cs="Arial"/>
              </w:rPr>
              <w:t xml:space="preserve"> that </w:t>
            </w:r>
            <w:r w:rsidR="005A5411">
              <w:rPr>
                <w:rFonts w:ascii="Arial" w:hAnsi="Arial" w:cs="Arial"/>
              </w:rPr>
              <w:t xml:space="preserve">the presentation and monthly update </w:t>
            </w:r>
            <w:r w:rsidR="001F62A4">
              <w:rPr>
                <w:rFonts w:ascii="Arial" w:hAnsi="Arial" w:cs="Arial"/>
              </w:rPr>
              <w:t>was</w:t>
            </w:r>
            <w:r w:rsidR="005A5411">
              <w:rPr>
                <w:rFonts w:ascii="Arial" w:hAnsi="Arial" w:cs="Arial"/>
              </w:rPr>
              <w:t xml:space="preserve"> completed </w:t>
            </w:r>
            <w:r w:rsidR="00912519">
              <w:rPr>
                <w:rFonts w:ascii="Arial" w:hAnsi="Arial" w:cs="Arial"/>
              </w:rPr>
              <w:t>and signed off by</w:t>
            </w:r>
            <w:r w:rsidR="005A5411">
              <w:rPr>
                <w:rFonts w:ascii="Arial" w:hAnsi="Arial" w:cs="Arial"/>
              </w:rPr>
              <w:t xml:space="preserve"> colleagues from British Horse Societ</w:t>
            </w:r>
            <w:r w:rsidR="001F62A4">
              <w:rPr>
                <w:rFonts w:ascii="Arial" w:hAnsi="Arial" w:cs="Arial"/>
              </w:rPr>
              <w:t>y, with support from SDS colleagues.</w:t>
            </w:r>
          </w:p>
          <w:p w14:paraId="4ECF58F8" w14:textId="3E12DAF1" w:rsidR="001111E6" w:rsidRDefault="00842A9E" w:rsidP="004F0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</w:t>
            </w:r>
            <w:r w:rsidR="00507D3A">
              <w:rPr>
                <w:rFonts w:ascii="Arial" w:hAnsi="Arial" w:cs="Arial"/>
              </w:rPr>
              <w:t xml:space="preserve"> </w:t>
            </w:r>
            <w:r w:rsidR="00912519">
              <w:rPr>
                <w:rFonts w:ascii="Arial" w:hAnsi="Arial" w:cs="Arial"/>
              </w:rPr>
              <w:t>highlighted that this is the first time we are seeing a development using this approach</w:t>
            </w:r>
            <w:r w:rsidR="001111E6">
              <w:rPr>
                <w:rFonts w:ascii="Arial" w:hAnsi="Arial" w:cs="Arial"/>
              </w:rPr>
              <w:t xml:space="preserve">. RJ queried how </w:t>
            </w:r>
            <w:r w:rsidR="00A242F7">
              <w:rPr>
                <w:rFonts w:ascii="Arial" w:hAnsi="Arial" w:cs="Arial"/>
              </w:rPr>
              <w:t>the development is</w:t>
            </w:r>
            <w:r w:rsidR="001111E6">
              <w:rPr>
                <w:rFonts w:ascii="Arial" w:hAnsi="Arial" w:cs="Arial"/>
              </w:rPr>
              <w:t xml:space="preserve"> shaping up so far. KS </w:t>
            </w:r>
            <w:r w:rsidR="0032609D">
              <w:rPr>
                <w:rFonts w:ascii="Arial" w:hAnsi="Arial" w:cs="Arial"/>
              </w:rPr>
              <w:t xml:space="preserve">confirmed that he is </w:t>
            </w:r>
            <w:r w:rsidR="0075205A">
              <w:rPr>
                <w:rFonts w:ascii="Arial" w:hAnsi="Arial" w:cs="Arial"/>
              </w:rPr>
              <w:t>content with buy-in from BHS,</w:t>
            </w:r>
            <w:r w:rsidR="0032609D">
              <w:rPr>
                <w:rFonts w:ascii="Arial" w:hAnsi="Arial" w:cs="Arial"/>
              </w:rPr>
              <w:t xml:space="preserve"> they have</w:t>
            </w:r>
            <w:r w:rsidR="0075205A">
              <w:rPr>
                <w:rFonts w:ascii="Arial" w:hAnsi="Arial" w:cs="Arial"/>
              </w:rPr>
              <w:t xml:space="preserve"> mo</w:t>
            </w:r>
            <w:r w:rsidR="0015569E">
              <w:rPr>
                <w:rFonts w:ascii="Arial" w:hAnsi="Arial" w:cs="Arial"/>
              </w:rPr>
              <w:t>b</w:t>
            </w:r>
            <w:r w:rsidR="0075205A">
              <w:rPr>
                <w:rFonts w:ascii="Arial" w:hAnsi="Arial" w:cs="Arial"/>
              </w:rPr>
              <w:t xml:space="preserve">ilised resources </w:t>
            </w:r>
            <w:r w:rsidR="00F35E39">
              <w:rPr>
                <w:rFonts w:ascii="Arial" w:hAnsi="Arial" w:cs="Arial"/>
              </w:rPr>
              <w:t xml:space="preserve">required </w:t>
            </w:r>
            <w:r w:rsidR="0075205A">
              <w:rPr>
                <w:rFonts w:ascii="Arial" w:hAnsi="Arial" w:cs="Arial"/>
              </w:rPr>
              <w:t xml:space="preserve">to </w:t>
            </w:r>
            <w:r w:rsidR="00A242F7">
              <w:rPr>
                <w:rFonts w:ascii="Arial" w:hAnsi="Arial" w:cs="Arial"/>
              </w:rPr>
              <w:t>achieve key milestones.</w:t>
            </w:r>
            <w:r w:rsidR="0075205A">
              <w:rPr>
                <w:rFonts w:ascii="Arial" w:hAnsi="Arial" w:cs="Arial"/>
              </w:rPr>
              <w:t xml:space="preserve"> KS </w:t>
            </w:r>
            <w:r w:rsidR="00C15A3E">
              <w:rPr>
                <w:rFonts w:ascii="Arial" w:hAnsi="Arial" w:cs="Arial"/>
              </w:rPr>
              <w:t>added</w:t>
            </w:r>
            <w:r w:rsidR="0075205A">
              <w:rPr>
                <w:rFonts w:ascii="Arial" w:hAnsi="Arial" w:cs="Arial"/>
              </w:rPr>
              <w:t xml:space="preserve"> that this is a great opportunity to </w:t>
            </w:r>
            <w:r w:rsidR="001529CD">
              <w:rPr>
                <w:rFonts w:ascii="Arial" w:hAnsi="Arial" w:cs="Arial"/>
              </w:rPr>
              <w:t xml:space="preserve">draw on experiences from previous developments and create a process which can be picked up and followed by developers – supported by a </w:t>
            </w:r>
            <w:r w:rsidR="001F1FFC">
              <w:rPr>
                <w:rFonts w:ascii="Arial" w:hAnsi="Arial" w:cs="Arial"/>
              </w:rPr>
              <w:t>set</w:t>
            </w:r>
            <w:r w:rsidR="0015569E">
              <w:rPr>
                <w:rFonts w:ascii="Arial" w:hAnsi="Arial" w:cs="Arial"/>
              </w:rPr>
              <w:t xml:space="preserve"> of resources which will be developed </w:t>
            </w:r>
            <w:r w:rsidR="00A242F7">
              <w:rPr>
                <w:rFonts w:ascii="Arial" w:hAnsi="Arial" w:cs="Arial"/>
              </w:rPr>
              <w:t xml:space="preserve">by SDS </w:t>
            </w:r>
            <w:r w:rsidR="0015569E">
              <w:rPr>
                <w:rFonts w:ascii="Arial" w:hAnsi="Arial" w:cs="Arial"/>
              </w:rPr>
              <w:t>alongside this pilot.</w:t>
            </w:r>
          </w:p>
          <w:p w14:paraId="27CACA6B" w14:textId="23117E86" w:rsidR="00CE060D" w:rsidRDefault="00CE060D" w:rsidP="004F0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Members queried whether the SQA Accreditation Manager had been engaged. KS confirmed that the</w:t>
            </w:r>
            <w:r w:rsidR="006A11DB">
              <w:rPr>
                <w:rFonts w:ascii="Arial" w:hAnsi="Arial" w:cs="Arial"/>
                <w:color w:val="000000" w:themeColor="text1"/>
              </w:rPr>
              <w:t xml:space="preserve"> SQA Accreditation Manager</w:t>
            </w:r>
            <w:r>
              <w:rPr>
                <w:rFonts w:ascii="Arial" w:hAnsi="Arial" w:cs="Arial"/>
                <w:color w:val="000000" w:themeColor="text1"/>
              </w:rPr>
              <w:t xml:space="preserve"> attended the kick-off meeting in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October 2023, and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will be engaged and updated on progress in the coming weeks.</w:t>
            </w:r>
          </w:p>
          <w:p w14:paraId="6E2A52A3" w14:textId="696B5EED" w:rsidR="00681036" w:rsidRDefault="0015569E" w:rsidP="004F00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</w:t>
            </w:r>
            <w:r w:rsidR="00B171B0">
              <w:rPr>
                <w:rFonts w:ascii="Arial" w:hAnsi="Arial" w:cs="Arial"/>
              </w:rPr>
              <w:t>wanted to confirm whether BHS will be developing NOS</w:t>
            </w:r>
            <w:r w:rsidR="00681036">
              <w:rPr>
                <w:rFonts w:ascii="Arial" w:hAnsi="Arial" w:cs="Arial"/>
              </w:rPr>
              <w:t xml:space="preserve">, and whether the </w:t>
            </w:r>
            <w:r w:rsidR="0080576D">
              <w:rPr>
                <w:rFonts w:ascii="Arial" w:hAnsi="Arial" w:cs="Arial"/>
              </w:rPr>
              <w:t xml:space="preserve">resulting </w:t>
            </w:r>
            <w:r w:rsidR="00681036">
              <w:rPr>
                <w:rFonts w:ascii="Arial" w:hAnsi="Arial" w:cs="Arial"/>
              </w:rPr>
              <w:t>qualification will be an SVQ</w:t>
            </w:r>
            <w:r w:rsidR="00594622">
              <w:rPr>
                <w:rFonts w:ascii="Arial" w:hAnsi="Arial" w:cs="Arial"/>
              </w:rPr>
              <w:t xml:space="preserve">. </w:t>
            </w:r>
            <w:r w:rsidR="0080576D">
              <w:rPr>
                <w:rFonts w:ascii="Arial" w:hAnsi="Arial" w:cs="Arial"/>
              </w:rPr>
              <w:t>Agreement to pick this up offline</w:t>
            </w:r>
            <w:r w:rsidR="006E48B3">
              <w:rPr>
                <w:rFonts w:ascii="Arial" w:hAnsi="Arial" w:cs="Arial"/>
              </w:rPr>
              <w:t>.</w:t>
            </w:r>
          </w:p>
          <w:p w14:paraId="042A81AA" w14:textId="79B349FC" w:rsidR="0015569E" w:rsidRDefault="006905C9" w:rsidP="004F00F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681036">
              <w:rPr>
                <w:rFonts w:ascii="Arial" w:hAnsi="Arial" w:cs="Arial"/>
                <w:b/>
                <w:bCs/>
                <w:color w:val="FF0000"/>
              </w:rPr>
              <w:t>TD will pick this offline with SQA and SG to confirm position on</w:t>
            </w:r>
            <w:r w:rsidR="00681036" w:rsidRPr="00681036">
              <w:rPr>
                <w:rFonts w:ascii="Arial" w:hAnsi="Arial" w:cs="Arial"/>
                <w:b/>
                <w:bCs/>
                <w:color w:val="FF0000"/>
              </w:rPr>
              <w:t xml:space="preserve"> this moving forward.</w:t>
            </w:r>
          </w:p>
          <w:p w14:paraId="10A29164" w14:textId="77777777" w:rsidR="00080908" w:rsidRDefault="00681036" w:rsidP="004F00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E060D">
              <w:rPr>
                <w:rFonts w:ascii="Arial" w:hAnsi="Arial" w:cs="Arial"/>
                <w:b/>
                <w:bCs/>
                <w:color w:val="000000" w:themeColor="text1"/>
              </w:rPr>
              <w:t xml:space="preserve">Bring back an update </w:t>
            </w:r>
            <w:r w:rsidR="00D41BC7" w:rsidRPr="00CE060D">
              <w:rPr>
                <w:rFonts w:ascii="Arial" w:hAnsi="Arial" w:cs="Arial"/>
                <w:b/>
                <w:bCs/>
                <w:color w:val="000000" w:themeColor="text1"/>
              </w:rPr>
              <w:t>next meeting as members feel it is necessary to understand</w:t>
            </w:r>
            <w:r w:rsidR="0080576D" w:rsidRPr="00CE060D">
              <w:rPr>
                <w:rFonts w:ascii="Arial" w:hAnsi="Arial" w:cs="Arial"/>
                <w:b/>
                <w:bCs/>
                <w:color w:val="000000" w:themeColor="text1"/>
              </w:rPr>
              <w:t xml:space="preserve"> the position on this</w:t>
            </w:r>
            <w:r w:rsidR="00CE060D">
              <w:rPr>
                <w:rFonts w:ascii="Arial" w:hAnsi="Arial" w:cs="Arial"/>
                <w:b/>
                <w:bCs/>
                <w:color w:val="000000" w:themeColor="text1"/>
              </w:rPr>
              <w:t xml:space="preserve"> to support the development moving forward.</w:t>
            </w:r>
          </w:p>
          <w:p w14:paraId="3C223E83" w14:textId="2DB9FF0C" w:rsidR="00CE060D" w:rsidRPr="00CE060D" w:rsidRDefault="00CE060D" w:rsidP="004F00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234132" w14:textId="02122066" w:rsidR="004F00FC" w:rsidRPr="00567047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69EEDA31" w14:textId="77777777" w:rsidTr="0041777F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1ED956F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797" w:type="dxa"/>
            <w:shd w:val="clear" w:color="auto" w:fill="FFFFFF" w:themeFill="background1"/>
          </w:tcPr>
          <w:p w14:paraId="328A7CB8" w14:textId="73981B8D" w:rsidR="004F00FC" w:rsidRPr="00814FE9" w:rsidRDefault="00774B27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Development Manager Update</w:t>
            </w:r>
          </w:p>
        </w:tc>
        <w:tc>
          <w:tcPr>
            <w:tcW w:w="1134" w:type="dxa"/>
            <w:shd w:val="clear" w:color="auto" w:fill="FFFFFF" w:themeFill="background1"/>
          </w:tcPr>
          <w:p w14:paraId="05DF7DEE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094AA38E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B3575A0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52005AE" w14:textId="77777777" w:rsidR="004F00FC" w:rsidRPr="000A1E85" w:rsidRDefault="00DB0811" w:rsidP="004F00FC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0A1E85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Aquaculture </w:t>
            </w:r>
          </w:p>
          <w:p w14:paraId="2F00A793" w14:textId="4C8A18BE" w:rsidR="00DB0811" w:rsidRDefault="009C634D" w:rsidP="00DB0811">
            <w:pPr>
              <w:pStyle w:val="NormalWeb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LH updated that </w:t>
            </w:r>
            <w:r w:rsidR="004B4B89">
              <w:rPr>
                <w:rFonts w:ascii="Arial" w:hAnsi="Arial" w:cs="Arial"/>
                <w:color w:val="000000" w:themeColor="text1"/>
                <w:sz w:val="22"/>
                <w:szCs w:val="22"/>
              </w:rPr>
              <w:t>SDS are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still w</w:t>
            </w:r>
            <w:r w:rsidR="00DB0811">
              <w:rPr>
                <w:rFonts w:ascii="Arial" w:hAnsi="Arial" w:cs="Arial"/>
                <w:color w:val="000000" w:themeColor="text1"/>
                <w:sz w:val="22"/>
                <w:szCs w:val="22"/>
              </w:rPr>
              <w:t>aiting for qualification codes</w:t>
            </w:r>
            <w:r w:rsidR="004B64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The group agreed that there is </w:t>
            </w:r>
            <w:r w:rsidR="009B2C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scope here to understand the process for generating these codes, if it can’t be shortened then this </w:t>
            </w:r>
            <w:r w:rsidR="006C1C50">
              <w:rPr>
                <w:rFonts w:ascii="Arial" w:hAnsi="Arial" w:cs="Arial"/>
                <w:color w:val="000000" w:themeColor="text1"/>
                <w:sz w:val="22"/>
                <w:szCs w:val="22"/>
              </w:rPr>
              <w:t>will</w:t>
            </w:r>
            <w:r w:rsidR="009B2C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 factored into the process.</w:t>
            </w:r>
          </w:p>
          <w:p w14:paraId="15624DD3" w14:textId="4B9E5E18" w:rsidR="003B0E88" w:rsidRDefault="000A1E85" w:rsidP="003B0E88">
            <w:pPr>
              <w:pStyle w:val="NormalWeb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LH highlighted that there is a</w:t>
            </w:r>
            <w:r w:rsidR="00542EF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call scheduled for May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Training Providers</w:t>
            </w:r>
            <w:r w:rsidR="007F5F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provide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guidance and support</w:t>
            </w:r>
            <w:r w:rsidR="007F5FD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r w:rsidR="009B2CA7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transitioning to the new apprenticeships.</w:t>
            </w:r>
          </w:p>
          <w:p w14:paraId="7085723F" w14:textId="75A76837" w:rsidR="005A23BB" w:rsidRPr="004B4B89" w:rsidRDefault="005A23BB" w:rsidP="004B4B8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1068">
              <w:rPr>
                <w:rFonts w:ascii="Arial" w:hAnsi="Arial" w:cs="Arial"/>
              </w:rPr>
              <w:t xml:space="preserve">RJ asked TB to </w:t>
            </w:r>
            <w:r w:rsidRPr="00E31068">
              <w:rPr>
                <w:rFonts w:ascii="Arial" w:eastAsia="Times New Roman" w:hAnsi="Arial" w:cs="Arial"/>
              </w:rPr>
              <w:t xml:space="preserve">request escalate this to SQA AB and seek an explanation </w:t>
            </w:r>
            <w:r w:rsidR="000C41F4" w:rsidRPr="00E31068">
              <w:rPr>
                <w:rFonts w:ascii="Arial" w:eastAsia="Times New Roman" w:hAnsi="Arial" w:cs="Arial"/>
              </w:rPr>
              <w:t>report</w:t>
            </w:r>
            <w:r w:rsidR="00EE5CAE" w:rsidRPr="00E31068">
              <w:rPr>
                <w:rFonts w:ascii="Arial" w:eastAsia="Times New Roman" w:hAnsi="Arial" w:cs="Arial"/>
              </w:rPr>
              <w:t>ing</w:t>
            </w:r>
            <w:r w:rsidR="000C41F4" w:rsidRPr="00E31068">
              <w:rPr>
                <w:rFonts w:ascii="Arial" w:eastAsia="Times New Roman" w:hAnsi="Arial" w:cs="Arial"/>
              </w:rPr>
              <w:t xml:space="preserve"> back at the next AAG</w:t>
            </w:r>
            <w:r w:rsidR="00FC6A8E">
              <w:rPr>
                <w:rFonts w:ascii="Arial" w:eastAsia="Times New Roman" w:hAnsi="Arial" w:cs="Arial"/>
              </w:rPr>
              <w:t>.</w:t>
            </w:r>
          </w:p>
          <w:p w14:paraId="41485762" w14:textId="0FAB9CC1" w:rsidR="009B2CA7" w:rsidRPr="004B4B89" w:rsidRDefault="00A77FB4" w:rsidP="00AC0441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4B4B89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 xml:space="preserve">Land-use </w:t>
            </w:r>
          </w:p>
          <w:p w14:paraId="1D1277E5" w14:textId="4E390723" w:rsidR="006F11C4" w:rsidRDefault="003320D2" w:rsidP="00FD5847">
            <w:pPr>
              <w:pStyle w:val="NormalWeb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questioned the rationalisation of the apprenticeships</w:t>
            </w:r>
            <w:r w:rsidR="00773A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as there are still 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>several</w:t>
            </w:r>
            <w:r w:rsidR="00773A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pathways.</w:t>
            </w:r>
            <w:r w:rsidR="007242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LH confirmed </w:t>
            </w:r>
            <w:r w:rsidR="00655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there is more </w:t>
            </w:r>
            <w:r w:rsidR="0072429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commonality</w:t>
            </w:r>
            <w:r w:rsidR="00655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between </w:t>
            </w:r>
            <w:r w:rsidR="00F56BD9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specialisms</w:t>
            </w:r>
            <w:r w:rsidR="007242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655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significant </w:t>
            </w:r>
            <w:r w:rsidR="007242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reduction of units, </w:t>
            </w:r>
            <w:r w:rsidR="00655C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the inclusion of </w:t>
            </w:r>
            <w:r w:rsidR="00724294">
              <w:rPr>
                <w:rFonts w:ascii="Arial" w:hAnsi="Arial" w:cs="Arial"/>
                <w:color w:val="000000" w:themeColor="text1"/>
                <w:sz w:val="22"/>
                <w:szCs w:val="22"/>
              </w:rPr>
              <w:t>meta-skills</w:t>
            </w:r>
            <w:r w:rsidR="004F5565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LH added that there has been a</w:t>
            </w:r>
            <w:r w:rsidR="004F5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="004F5565">
              <w:rPr>
                <w:rFonts w:ascii="Arial" w:hAnsi="Arial" w:cs="Arial"/>
                <w:color w:val="000000" w:themeColor="text1"/>
                <w:sz w:val="22"/>
                <w:szCs w:val="22"/>
              </w:rPr>
              <w:t>uge benefit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74ABE">
              <w:rPr>
                <w:rFonts w:ascii="Arial" w:hAnsi="Arial" w:cs="Arial"/>
                <w:color w:val="000000" w:themeColor="text1"/>
                <w:sz w:val="22"/>
                <w:szCs w:val="22"/>
              </w:rPr>
              <w:t>from</w:t>
            </w:r>
            <w:r w:rsidR="0025495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using</w:t>
            </w:r>
            <w:r w:rsidR="00C74A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>the TEG approach</w:t>
            </w:r>
            <w:r w:rsidR="004F556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7E3D21">
              <w:rPr>
                <w:rFonts w:ascii="Arial" w:hAnsi="Arial" w:cs="Arial"/>
                <w:color w:val="000000" w:themeColor="text1"/>
                <w:sz w:val="22"/>
                <w:szCs w:val="22"/>
              </w:rPr>
              <w:t>as it has brought different groups together</w:t>
            </w:r>
            <w:r w:rsidR="001870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86C0CB9" w14:textId="404E9285" w:rsidR="00FD5847" w:rsidRDefault="006F11C4" w:rsidP="00FD5847">
            <w:pPr>
              <w:pStyle w:val="NormalWeb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emphasised the</w:t>
            </w:r>
            <w:r w:rsidR="001870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importan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ce of</w:t>
            </w:r>
            <w:r w:rsidR="001870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highlight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ing</w:t>
            </w:r>
            <w:r w:rsidR="001870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these benefits </w:t>
            </w:r>
            <w:r w:rsidR="00B034D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ensure people understand the positive change, despite the footprint not looking vastly different. </w:t>
            </w:r>
          </w:p>
          <w:p w14:paraId="700D336D" w14:textId="39EF277E" w:rsidR="00FD5847" w:rsidRDefault="00FD5847" w:rsidP="00FD5847">
            <w:pPr>
              <w:pStyle w:val="NormalWeb"/>
              <w:numPr>
                <w:ilvl w:val="0"/>
                <w:numId w:val="31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TD added to this that </w:t>
            </w:r>
            <w:r w:rsidR="00660CF3">
              <w:rPr>
                <w:rFonts w:ascii="Arial" w:hAnsi="Arial" w:cs="Arial"/>
                <w:color w:val="000000" w:themeColor="text1"/>
                <w:sz w:val="22"/>
                <w:szCs w:val="22"/>
              </w:rPr>
              <w:t>TD and LH are</w:t>
            </w:r>
            <w:r w:rsidR="00704E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looking at how to present </w:t>
            </w:r>
            <w:r w:rsidR="00DF2D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apprenticeships (via frameworks) with an accompanying annex that </w:t>
            </w:r>
            <w:r w:rsidR="00704E34">
              <w:rPr>
                <w:rFonts w:ascii="Arial" w:hAnsi="Arial" w:cs="Arial"/>
                <w:color w:val="000000" w:themeColor="text1"/>
                <w:sz w:val="22"/>
                <w:szCs w:val="22"/>
              </w:rPr>
              <w:t>tell</w:t>
            </w:r>
            <w:r w:rsidR="00DF2D4C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704E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story of the development.</w:t>
            </w:r>
          </w:p>
          <w:p w14:paraId="190989D1" w14:textId="4984044C" w:rsidR="00DF2D4C" w:rsidRDefault="00DF2D4C" w:rsidP="00064E01">
            <w:pPr>
              <w:pStyle w:val="NormalWeb"/>
              <w:spacing w:after="0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acknowledge</w:t>
            </w:r>
            <w:r w:rsidR="00064E01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complexity of this </w:t>
            </w:r>
            <w:r w:rsidR="00064E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sector and passed on congratulations to </w:t>
            </w:r>
            <w:r w:rsidR="00C74ABE">
              <w:rPr>
                <w:rFonts w:ascii="Arial" w:hAnsi="Arial" w:cs="Arial"/>
                <w:color w:val="000000" w:themeColor="text1"/>
                <w:sz w:val="22"/>
                <w:szCs w:val="22"/>
              </w:rPr>
              <w:t>LH</w:t>
            </w:r>
            <w:r w:rsidR="00064E0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progressing to this point.</w:t>
            </w:r>
          </w:p>
          <w:p w14:paraId="479BBB57" w14:textId="38A0CDB2" w:rsidR="00A726C8" w:rsidRDefault="00E63BB3" w:rsidP="00E63BB3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Accounting </w:t>
            </w:r>
          </w:p>
          <w:p w14:paraId="2C2E79FF" w14:textId="5A32A099" w:rsidR="00A51B3F" w:rsidRPr="00146BA8" w:rsidRDefault="00A51B3F" w:rsidP="00A51B3F">
            <w:pPr>
              <w:pStyle w:val="NormalWeb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46BA8"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queried whether AAT or ACCA have expressed interest in delivering the WBL qual</w:t>
            </w:r>
            <w:r w:rsidR="00E87D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ification. </w:t>
            </w:r>
            <w:r w:rsidR="00146BA8" w:rsidRPr="00146BA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LH confirmed </w:t>
            </w:r>
            <w:r w:rsidR="00146BA8" w:rsidRPr="00146BA8">
              <w:rPr>
                <w:rStyle w:val="ui-provider"/>
                <w:rFonts w:ascii="Arial" w:hAnsi="Arial" w:cs="Arial"/>
                <w:sz w:val="22"/>
                <w:szCs w:val="22"/>
              </w:rPr>
              <w:t>that AAT and ACCA have no plans to offer the Accounting CBQ as neither have the infrastructure in place to do so</w:t>
            </w:r>
            <w:r w:rsidR="00146BA8">
              <w:rPr>
                <w:rStyle w:val="ui-provider"/>
                <w:sz w:val="22"/>
                <w:szCs w:val="22"/>
              </w:rPr>
              <w:t>.</w:t>
            </w:r>
          </w:p>
          <w:p w14:paraId="13AB147E" w14:textId="70549D96" w:rsidR="009727CD" w:rsidRDefault="00151310" w:rsidP="009727CD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Transport (Road)</w:t>
            </w:r>
          </w:p>
          <w:p w14:paraId="04A241E7" w14:textId="1D9FB7E7" w:rsidR="00151310" w:rsidRDefault="00146BA8" w:rsidP="00151310">
            <w:pPr>
              <w:pStyle w:val="NormalWeb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LH updated that the </w:t>
            </w:r>
            <w:r w:rsidR="00E87D19">
              <w:rPr>
                <w:rFonts w:ascii="Arial" w:hAnsi="Arial" w:cs="Arial"/>
                <w:color w:val="000000" w:themeColor="text1"/>
                <w:sz w:val="22"/>
                <w:szCs w:val="22"/>
              </w:rPr>
              <w:t>Q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ualification </w:t>
            </w:r>
            <w:r w:rsidR="00E87D19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odes have already been received </w:t>
            </w:r>
            <w:r w:rsidR="00E87D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from the awarding body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and that t</w:t>
            </w:r>
            <w:r w:rsidR="00151310">
              <w:rPr>
                <w:rFonts w:ascii="Arial" w:hAnsi="Arial" w:cs="Arial"/>
                <w:color w:val="000000" w:themeColor="text1"/>
                <w:sz w:val="22"/>
                <w:szCs w:val="22"/>
              </w:rPr>
              <w:t>his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development</w:t>
            </w:r>
            <w:r w:rsidR="001513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</w:t>
            </w:r>
            <w:r w:rsidR="000B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 </w:t>
            </w:r>
            <w:r w:rsidR="001513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presented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 June </w:t>
            </w:r>
            <w:r w:rsidR="000B7A56">
              <w:rPr>
                <w:rFonts w:ascii="Arial" w:hAnsi="Arial" w:cs="Arial"/>
                <w:color w:val="000000" w:themeColor="text1"/>
                <w:sz w:val="22"/>
                <w:szCs w:val="22"/>
              </w:rPr>
              <w:t>for final approval for delivery (combined</w:t>
            </w:r>
            <w:r w:rsidR="001513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Stage Gate 3 and Stage Gate </w:t>
            </w:r>
            <w:r w:rsidR="000B7A56">
              <w:rPr>
                <w:rFonts w:ascii="Arial" w:hAnsi="Arial" w:cs="Arial"/>
                <w:color w:val="000000" w:themeColor="text1"/>
                <w:sz w:val="22"/>
                <w:szCs w:val="22"/>
              </w:rPr>
              <w:t>4)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144FBE1" w14:textId="3A1BE15E" w:rsidR="00801584" w:rsidRDefault="005D15CE" w:rsidP="00801584">
            <w:pPr>
              <w:pStyle w:val="NormalWeb"/>
              <w:numPr>
                <w:ilvl w:val="0"/>
                <w:numId w:val="32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GB highlighted that the c</w:t>
            </w:r>
            <w:r w:rsidR="008015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urrent </w:t>
            </w:r>
            <w:r w:rsidR="000B7A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SQA </w:t>
            </w:r>
            <w:r w:rsidR="008015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 </w:t>
            </w:r>
            <w:r w:rsidR="00295E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SVQ </w:t>
            </w:r>
            <w:r w:rsidR="00E307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withdrawal for end of July has been rejected </w:t>
            </w:r>
            <w:r w:rsidR="00EF0FB2">
              <w:rPr>
                <w:rFonts w:ascii="Arial" w:hAnsi="Arial" w:cs="Arial"/>
                <w:color w:val="000000" w:themeColor="text1"/>
                <w:sz w:val="22"/>
                <w:szCs w:val="22"/>
              </w:rPr>
              <w:t>to</w:t>
            </w:r>
            <w:r w:rsidR="00E3072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allow time for Training Providers to </w:t>
            </w:r>
            <w:r w:rsidR="00EF0FB2">
              <w:rPr>
                <w:rFonts w:ascii="Arial" w:hAnsi="Arial" w:cs="Arial"/>
                <w:color w:val="000000" w:themeColor="text1"/>
                <w:sz w:val="22"/>
                <w:szCs w:val="22"/>
              </w:rPr>
              <w:t>move onto the new apprenticeships.</w:t>
            </w:r>
          </w:p>
          <w:p w14:paraId="4399BA52" w14:textId="0474C2A1" w:rsidR="00EF0FB2" w:rsidRDefault="00EF0FB2" w:rsidP="00EF0FB2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Transport (Rail)</w:t>
            </w:r>
          </w:p>
          <w:p w14:paraId="5D1EAD2E" w14:textId="16E246BD" w:rsidR="00EF0FB2" w:rsidRDefault="00EF0FB2" w:rsidP="00EF0FB2">
            <w:pPr>
              <w:pStyle w:val="NormalWeb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Clarification need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from A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ccreditation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oordination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>roup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on whether the </w:t>
            </w:r>
            <w:r w:rsidR="00E76BD2">
              <w:rPr>
                <w:rFonts w:ascii="Arial" w:hAnsi="Arial" w:cs="Arial"/>
                <w:color w:val="000000" w:themeColor="text1"/>
                <w:sz w:val="22"/>
                <w:szCs w:val="22"/>
              </w:rPr>
              <w:t>Q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ual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>ification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76BD2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roducts should be approved</w:t>
            </w:r>
            <w:r w:rsidR="005B35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if there </w:t>
            </w:r>
            <w:r w:rsidR="00C61734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no one to deliver</w:t>
            </w:r>
            <w:r w:rsidR="004C65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the apprenticeship</w:t>
            </w:r>
            <w:r w:rsidR="00C6173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924BBE4" w14:textId="6DB5058A" w:rsidR="00AC0441" w:rsidRPr="00E12FF0" w:rsidRDefault="00C61734" w:rsidP="00E12FF0">
            <w:pPr>
              <w:pStyle w:val="NormalWeb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highlighted that this may not be final yet</w:t>
            </w:r>
            <w:r w:rsidR="00F819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there has been a change to personnel and there is still potential 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the employer </w:t>
            </w:r>
            <w:r w:rsidR="00F8190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progress </w:t>
            </w:r>
            <w:r w:rsidR="004C65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</w:t>
            </w:r>
            <w:r w:rsidR="00F81909">
              <w:rPr>
                <w:rFonts w:ascii="Arial" w:hAnsi="Arial" w:cs="Arial"/>
                <w:color w:val="000000" w:themeColor="text1"/>
                <w:sz w:val="22"/>
                <w:szCs w:val="22"/>
              </w:rPr>
              <w:t>this</w:t>
            </w:r>
            <w:r w:rsidR="004C65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framework</w:t>
            </w:r>
            <w:r w:rsidR="00F8190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Members proposed to c</w:t>
            </w:r>
            <w:r w:rsidR="004E08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hange language from 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>‘</w:t>
            </w:r>
            <w:r w:rsidR="004E0858">
              <w:rPr>
                <w:rFonts w:ascii="Arial" w:hAnsi="Arial" w:cs="Arial"/>
                <w:color w:val="000000" w:themeColor="text1"/>
                <w:sz w:val="22"/>
                <w:szCs w:val="22"/>
              </w:rPr>
              <w:t>withdraw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>n’</w:t>
            </w:r>
            <w:r w:rsidR="004E08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>‘</w:t>
            </w:r>
            <w:r w:rsidR="004E0858">
              <w:rPr>
                <w:rFonts w:ascii="Arial" w:hAnsi="Arial" w:cs="Arial"/>
                <w:color w:val="000000" w:themeColor="text1"/>
                <w:sz w:val="22"/>
                <w:szCs w:val="22"/>
              </w:rPr>
              <w:t>pause</w:t>
            </w:r>
            <w:r w:rsidR="00BD015E">
              <w:rPr>
                <w:rFonts w:ascii="Arial" w:hAnsi="Arial" w:cs="Arial"/>
                <w:color w:val="000000" w:themeColor="text1"/>
                <w:sz w:val="22"/>
                <w:szCs w:val="22"/>
              </w:rPr>
              <w:t>d’</w:t>
            </w:r>
            <w:r w:rsidR="004E08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until this is finalised.</w:t>
            </w:r>
          </w:p>
        </w:tc>
        <w:tc>
          <w:tcPr>
            <w:tcW w:w="1134" w:type="dxa"/>
            <w:shd w:val="clear" w:color="auto" w:fill="FFFFFF" w:themeFill="background1"/>
          </w:tcPr>
          <w:p w14:paraId="6148D6F8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790639F" w14:textId="60B56D8D" w:rsidR="004F00FC" w:rsidRPr="00C24CC7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1D3B48CE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2679311E" w14:textId="7E72F083" w:rsidR="004F00FC" w:rsidRPr="00814FE9" w:rsidRDefault="0080576D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F00FC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7797" w:type="dxa"/>
            <w:shd w:val="clear" w:color="auto" w:fill="FFFFFF" w:themeFill="background1"/>
          </w:tcPr>
          <w:p w14:paraId="125E0D64" w14:textId="5C568898" w:rsidR="004F00FC" w:rsidRPr="000A7593" w:rsidRDefault="001E6A38" w:rsidP="004F0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Introduction to NTP</w:t>
            </w:r>
          </w:p>
        </w:tc>
        <w:tc>
          <w:tcPr>
            <w:tcW w:w="1134" w:type="dxa"/>
            <w:shd w:val="clear" w:color="auto" w:fill="FFFFFF" w:themeFill="background1"/>
          </w:tcPr>
          <w:p w14:paraId="3D345F5D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4F00FC" w:rsidRPr="00814FE9" w14:paraId="6B875580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664CE65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3C16748" w14:textId="521375AB" w:rsidR="004F00FC" w:rsidRDefault="00983BDC" w:rsidP="004F00F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Helen Allison from the National Training Programme in SDS </w:t>
            </w:r>
            <w:r w:rsidR="00856EA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introduced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</w:t>
            </w:r>
            <w:r w:rsidR="00841F6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</w:t>
            </w:r>
            <w:r w:rsidR="004C655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12FF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directorate’s</w:t>
            </w:r>
            <w:r w:rsidR="00841F6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role in delivering apprenticeships.</w:t>
            </w:r>
          </w:p>
          <w:p w14:paraId="63E9F07A" w14:textId="3F367C92" w:rsidR="00E152B3" w:rsidRDefault="00856EA3" w:rsidP="00E152B3">
            <w:pPr>
              <w:pStyle w:val="NormalWeb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Members</w:t>
            </w:r>
            <w:r w:rsidR="00935DD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felt it would be useful to understand how contribution rates are set.</w:t>
            </w:r>
            <w:r w:rsidR="00335D3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HA </w:t>
            </w:r>
            <w:r w:rsidR="004E64B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highlighted that there will be a series of calls and events with stakeholders </w:t>
            </w:r>
            <w:r w:rsidR="00E152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which will explain the contribution rates, new process, what’s coming up, quality assurance </w:t>
            </w:r>
            <w:r w:rsidR="00F07B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etc. </w:t>
            </w:r>
          </w:p>
          <w:p w14:paraId="60A9CD36" w14:textId="0A8CA6FA" w:rsidR="00E152B3" w:rsidRPr="00DB01DE" w:rsidRDefault="00DB01DE" w:rsidP="00E152B3">
            <w:pPr>
              <w:pStyle w:val="NormalWeb"/>
              <w:spacing w:after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B01D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HA will share these links when available.</w:t>
            </w:r>
          </w:p>
          <w:p w14:paraId="78FE52DA" w14:textId="58F1EF4C" w:rsidR="00935DDC" w:rsidRDefault="00EF1537" w:rsidP="00856EA3">
            <w:pPr>
              <w:pStyle w:val="NormalWeb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Members felt it would be beneficial to </w:t>
            </w:r>
            <w:r w:rsidR="000226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encourage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open dialogue on 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 length of time given to</w:t>
            </w:r>
            <w:r w:rsidR="000A201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transition onto a new framework, considering </w:t>
            </w:r>
            <w:r w:rsidR="00E152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</w:t>
            </w:r>
            <w:r w:rsidR="000A201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sector</w:t>
            </w:r>
            <w:r w:rsidR="00E152B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/environment</w:t>
            </w:r>
            <w:r w:rsidR="000A201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training providers.</w:t>
            </w:r>
            <w:r w:rsidR="0040681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HA agreed that this needs to be built into the process, and</w:t>
            </w:r>
            <w:r w:rsidR="009C4B1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conversations need to happen early on to establish a </w:t>
            </w:r>
            <w:r w:rsidR="001709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realistic live date</w:t>
            </w:r>
            <w:r w:rsidR="00F07B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based 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off</w:t>
            </w:r>
            <w:r w:rsidR="00F07B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consultation</w:t>
            </w:r>
            <w:r w:rsidR="00160FD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and sector</w:t>
            </w:r>
            <w:r w:rsidR="000226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HA</w:t>
            </w:r>
            <w:r w:rsidR="00F07B2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added that communication with stakeholders in this area will be key</w:t>
            </w:r>
            <w:r w:rsidR="000226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7ABED9CF" w14:textId="77777777" w:rsidR="0017090A" w:rsidRDefault="00DB01DE" w:rsidP="00DB01DE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HA and 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colleagues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are currently reviewing the comm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unications plan. HA will work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with AAG 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members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to establish when in the process they </w:t>
            </w:r>
            <w:r w:rsidR="00437D7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can </w:t>
            </w:r>
            <w:r w:rsidR="0017090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feed into this. </w:t>
            </w:r>
          </w:p>
          <w:p w14:paraId="644EBE13" w14:textId="750A097D" w:rsidR="0012421C" w:rsidRPr="00C24CC7" w:rsidRDefault="0012421C" w:rsidP="00DB01DE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479850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BDEC062" w14:textId="27B3FF55" w:rsidR="004F00FC" w:rsidRPr="008E4D67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E6A38" w:rsidRPr="00814FE9" w14:paraId="2A858587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D04413E" w14:textId="021DA1B4" w:rsidR="001E6A38" w:rsidRDefault="0080576D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47CDF4" w14:textId="74D54101" w:rsidR="001E6A38" w:rsidRPr="000A7593" w:rsidRDefault="001E6A38" w:rsidP="004F00FC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Updates from SAAB</w:t>
            </w:r>
          </w:p>
        </w:tc>
        <w:tc>
          <w:tcPr>
            <w:tcW w:w="1134" w:type="dxa"/>
            <w:shd w:val="clear" w:color="auto" w:fill="FFFFFF" w:themeFill="background1"/>
          </w:tcPr>
          <w:p w14:paraId="58B4C8BB" w14:textId="77777777" w:rsidR="001E6A38" w:rsidRDefault="001E6A38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E6A38" w:rsidRPr="00814FE9" w14:paraId="35DF9447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F604C7B" w14:textId="77777777" w:rsidR="001E6A38" w:rsidRDefault="001E6A38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C62EC9E" w14:textId="4C68A5EB" w:rsidR="006357D6" w:rsidRPr="006357D6" w:rsidRDefault="00310A5D" w:rsidP="00310A5D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Notes – circulated </w:t>
            </w:r>
            <w:r w:rsidR="00C124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electronically </w:t>
            </w:r>
          </w:p>
        </w:tc>
        <w:tc>
          <w:tcPr>
            <w:tcW w:w="1134" w:type="dxa"/>
            <w:shd w:val="clear" w:color="auto" w:fill="FFFFFF" w:themeFill="background1"/>
          </w:tcPr>
          <w:p w14:paraId="4A1C2C62" w14:textId="77777777" w:rsidR="001E6A38" w:rsidRDefault="001E6A38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5EE038F9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59CA243" w14:textId="2DEE61CB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797" w:type="dxa"/>
            <w:shd w:val="clear" w:color="auto" w:fill="FFFFFF" w:themeFill="background1"/>
          </w:tcPr>
          <w:p w14:paraId="7509D99A" w14:textId="37F9E79D" w:rsidR="004F00FC" w:rsidRPr="00C24CC7" w:rsidRDefault="004F00FC" w:rsidP="004F00FC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7593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AOB</w:t>
            </w:r>
          </w:p>
        </w:tc>
        <w:tc>
          <w:tcPr>
            <w:tcW w:w="1134" w:type="dxa"/>
            <w:shd w:val="clear" w:color="auto" w:fill="FFFFFF" w:themeFill="background1"/>
          </w:tcPr>
          <w:p w14:paraId="15EDCD0D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4F00FC" w:rsidRPr="00814FE9" w14:paraId="71DCB344" w14:textId="77777777" w:rsidTr="0041777F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5AF68CB6" w14:textId="77777777" w:rsidR="004F00FC" w:rsidRPr="00814FE9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3F80FD4E" w14:textId="251E14A6" w:rsidR="004F00FC" w:rsidRPr="00C124E9" w:rsidRDefault="00C124E9" w:rsidP="00C124E9">
            <w:pPr>
              <w:pStyle w:val="NormalWeb"/>
              <w:spacing w:after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Notes – circulated electronically</w:t>
            </w:r>
          </w:p>
        </w:tc>
        <w:tc>
          <w:tcPr>
            <w:tcW w:w="1134" w:type="dxa"/>
            <w:shd w:val="clear" w:color="auto" w:fill="FFFFFF" w:themeFill="background1"/>
          </w:tcPr>
          <w:p w14:paraId="01056375" w14:textId="77777777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2827559" w14:textId="53D82EFC" w:rsidR="004F00FC" w:rsidRDefault="004F00FC" w:rsidP="004F00F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0F713B6E" w14:textId="77777777" w:rsidR="00126070" w:rsidRPr="00FC0F85" w:rsidRDefault="00126070" w:rsidP="00126070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126070" w:rsidRPr="00FC0F85" w14:paraId="09FC5FC6" w14:textId="77777777" w:rsidTr="00587598">
        <w:trPr>
          <w:trHeight w:val="324"/>
        </w:trPr>
        <w:tc>
          <w:tcPr>
            <w:tcW w:w="9640" w:type="dxa"/>
            <w:gridSpan w:val="2"/>
          </w:tcPr>
          <w:p w14:paraId="0601B153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126070" w:rsidRPr="00FC0F85" w14:paraId="3AB9B91F" w14:textId="77777777" w:rsidTr="00587598">
        <w:trPr>
          <w:trHeight w:val="309"/>
        </w:trPr>
        <w:tc>
          <w:tcPr>
            <w:tcW w:w="8648" w:type="dxa"/>
          </w:tcPr>
          <w:p w14:paraId="31F2DF4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4D6BC6E2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113514" w:rsidRPr="00FC0F85" w14:paraId="47715F9F" w14:textId="77777777" w:rsidTr="00587598">
        <w:trPr>
          <w:trHeight w:val="324"/>
        </w:trPr>
        <w:tc>
          <w:tcPr>
            <w:tcW w:w="8648" w:type="dxa"/>
          </w:tcPr>
          <w:p w14:paraId="19DBD199" w14:textId="636E274F" w:rsidR="00113514" w:rsidRPr="00113514" w:rsidRDefault="00113514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113514">
              <w:rPr>
                <w:rFonts w:ascii="Arial" w:hAnsi="Arial" w:cs="Arial"/>
                <w:sz w:val="20"/>
                <w:szCs w:val="18"/>
              </w:rPr>
              <w:t>TD and NC will circulate numbers for Framework uptake for new apprenticeships</w:t>
            </w:r>
          </w:p>
        </w:tc>
        <w:tc>
          <w:tcPr>
            <w:tcW w:w="992" w:type="dxa"/>
          </w:tcPr>
          <w:p w14:paraId="21049268" w14:textId="1AAB1E5F" w:rsidR="00113514" w:rsidRPr="0049427F" w:rsidRDefault="00113514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NC</w:t>
            </w:r>
          </w:p>
        </w:tc>
      </w:tr>
      <w:tr w:rsidR="00126070" w:rsidRPr="00FC0F85" w14:paraId="6364F537" w14:textId="77777777" w:rsidTr="00587598">
        <w:trPr>
          <w:trHeight w:val="324"/>
        </w:trPr>
        <w:tc>
          <w:tcPr>
            <w:tcW w:w="8648" w:type="dxa"/>
          </w:tcPr>
          <w:p w14:paraId="01FFBF1F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4B53A81B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C44290" w:rsidRPr="00FC0F85" w14:paraId="793FB18D" w14:textId="77777777" w:rsidTr="00B168CD">
        <w:trPr>
          <w:trHeight w:val="309"/>
        </w:trPr>
        <w:tc>
          <w:tcPr>
            <w:tcW w:w="8648" w:type="dxa"/>
            <w:shd w:val="clear" w:color="auto" w:fill="70AD47" w:themeFill="accent6"/>
          </w:tcPr>
          <w:p w14:paraId="6DA1B348" w14:textId="3827317C" w:rsidR="00C44290" w:rsidRPr="00C44290" w:rsidRDefault="00C44290" w:rsidP="0058759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NTP colleagues to attend AAG as an upskill on delivery of apprenticeships </w:t>
            </w:r>
            <w:r w:rsidRPr="00C442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 2024</w:t>
            </w:r>
          </w:p>
        </w:tc>
        <w:tc>
          <w:tcPr>
            <w:tcW w:w="992" w:type="dxa"/>
            <w:shd w:val="clear" w:color="auto" w:fill="70AD47" w:themeFill="accent6"/>
          </w:tcPr>
          <w:p w14:paraId="6F67B961" w14:textId="55CE8055" w:rsidR="00C44290" w:rsidRDefault="00C4429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</w:tbl>
    <w:p w14:paraId="26341AC7" w14:textId="77777777" w:rsidR="00126070" w:rsidRDefault="00126070" w:rsidP="00126070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="00126070" w:rsidRPr="00FC0F85" w14:paraId="29CAA052" w14:textId="77777777" w:rsidTr="00587598">
        <w:trPr>
          <w:trHeight w:val="321"/>
        </w:trPr>
        <w:tc>
          <w:tcPr>
            <w:tcW w:w="9640" w:type="dxa"/>
            <w:gridSpan w:val="2"/>
          </w:tcPr>
          <w:p w14:paraId="37F414B1" w14:textId="77777777" w:rsidR="00126070" w:rsidRPr="00FC0F85" w:rsidRDefault="00126070" w:rsidP="00587598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 (Stage Gate 3)</w:t>
            </w:r>
          </w:p>
        </w:tc>
      </w:tr>
      <w:tr w:rsidR="00126070" w:rsidRPr="00FC0F85" w14:paraId="48D695F6" w14:textId="77777777" w:rsidTr="00587598">
        <w:trPr>
          <w:trHeight w:val="309"/>
        </w:trPr>
        <w:tc>
          <w:tcPr>
            <w:tcW w:w="5954" w:type="dxa"/>
          </w:tcPr>
          <w:p w14:paraId="5D753158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14:paraId="73F2E8B6" w14:textId="77777777" w:rsidR="00126070" w:rsidRPr="00FC0F85" w:rsidRDefault="00126070" w:rsidP="00587598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126070" w:rsidRPr="00FC0F85" w14:paraId="45D271C6" w14:textId="77777777" w:rsidTr="00587598">
        <w:trPr>
          <w:trHeight w:val="324"/>
        </w:trPr>
        <w:tc>
          <w:tcPr>
            <w:tcW w:w="5954" w:type="dxa"/>
          </w:tcPr>
          <w:p w14:paraId="6B43E458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Levels 5 and 7</w:t>
            </w:r>
          </w:p>
        </w:tc>
        <w:tc>
          <w:tcPr>
            <w:tcW w:w="3686" w:type="dxa"/>
          </w:tcPr>
          <w:p w14:paraId="269BE5FA" w14:textId="77777777" w:rsidR="00126070" w:rsidRPr="0049427F" w:rsidRDefault="00126070" w:rsidP="00587598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</w:tbl>
    <w:p w14:paraId="3A14DDB9" w14:textId="353B8400" w:rsidR="00E75807" w:rsidRDefault="00E75807" w:rsidP="006B639E"/>
    <w:sectPr w:rsidR="00E75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E00"/>
    <w:multiLevelType w:val="hybridMultilevel"/>
    <w:tmpl w:val="14B6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811"/>
    <w:multiLevelType w:val="hybridMultilevel"/>
    <w:tmpl w:val="5F90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B64"/>
    <w:multiLevelType w:val="hybridMultilevel"/>
    <w:tmpl w:val="4C1AF67A"/>
    <w:lvl w:ilvl="0" w:tplc="85686D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85B3E"/>
    <w:multiLevelType w:val="hybridMultilevel"/>
    <w:tmpl w:val="55783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A33"/>
    <w:multiLevelType w:val="hybridMultilevel"/>
    <w:tmpl w:val="098A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5AAC"/>
    <w:multiLevelType w:val="hybridMultilevel"/>
    <w:tmpl w:val="7E16824E"/>
    <w:lvl w:ilvl="0" w:tplc="85686DD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30B77"/>
    <w:multiLevelType w:val="hybridMultilevel"/>
    <w:tmpl w:val="3584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A56CF"/>
    <w:multiLevelType w:val="hybridMultilevel"/>
    <w:tmpl w:val="7074A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C6C57"/>
    <w:multiLevelType w:val="hybridMultilevel"/>
    <w:tmpl w:val="38464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537F0"/>
    <w:multiLevelType w:val="hybridMultilevel"/>
    <w:tmpl w:val="725A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07920"/>
    <w:multiLevelType w:val="hybridMultilevel"/>
    <w:tmpl w:val="175ED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45C47"/>
    <w:multiLevelType w:val="hybridMultilevel"/>
    <w:tmpl w:val="D9960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0384B"/>
    <w:multiLevelType w:val="hybridMultilevel"/>
    <w:tmpl w:val="CEC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306F4"/>
    <w:multiLevelType w:val="hybridMultilevel"/>
    <w:tmpl w:val="EA8E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61AEC"/>
    <w:multiLevelType w:val="hybridMultilevel"/>
    <w:tmpl w:val="036A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11806"/>
    <w:multiLevelType w:val="hybridMultilevel"/>
    <w:tmpl w:val="CCB4C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1625"/>
    <w:multiLevelType w:val="hybridMultilevel"/>
    <w:tmpl w:val="9C00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85A7D"/>
    <w:multiLevelType w:val="hybridMultilevel"/>
    <w:tmpl w:val="6D8C0450"/>
    <w:lvl w:ilvl="0" w:tplc="2D44FF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81AC6"/>
    <w:multiLevelType w:val="hybridMultilevel"/>
    <w:tmpl w:val="A3F8F9D0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06F90"/>
    <w:multiLevelType w:val="hybridMultilevel"/>
    <w:tmpl w:val="6D4E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B715D"/>
    <w:multiLevelType w:val="hybridMultilevel"/>
    <w:tmpl w:val="206408B4"/>
    <w:lvl w:ilvl="0" w:tplc="E29AE4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015D"/>
    <w:multiLevelType w:val="hybridMultilevel"/>
    <w:tmpl w:val="79D44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1915"/>
    <w:multiLevelType w:val="hybridMultilevel"/>
    <w:tmpl w:val="686E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759F6"/>
    <w:multiLevelType w:val="hybridMultilevel"/>
    <w:tmpl w:val="F796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14CA6"/>
    <w:multiLevelType w:val="hybridMultilevel"/>
    <w:tmpl w:val="7EF4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D2E5D"/>
    <w:multiLevelType w:val="hybridMultilevel"/>
    <w:tmpl w:val="C96E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C391A"/>
    <w:multiLevelType w:val="hybridMultilevel"/>
    <w:tmpl w:val="222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87EC8"/>
    <w:multiLevelType w:val="hybridMultilevel"/>
    <w:tmpl w:val="39B4F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5B2550"/>
    <w:multiLevelType w:val="hybridMultilevel"/>
    <w:tmpl w:val="95F8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46F0B"/>
    <w:multiLevelType w:val="hybridMultilevel"/>
    <w:tmpl w:val="ADB46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52747"/>
    <w:multiLevelType w:val="hybridMultilevel"/>
    <w:tmpl w:val="C6C4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64960"/>
    <w:multiLevelType w:val="hybridMultilevel"/>
    <w:tmpl w:val="601C95A6"/>
    <w:lvl w:ilvl="0" w:tplc="729E7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53AAF"/>
    <w:multiLevelType w:val="hybridMultilevel"/>
    <w:tmpl w:val="69E84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46BDC"/>
    <w:multiLevelType w:val="hybridMultilevel"/>
    <w:tmpl w:val="7074A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4ED9"/>
    <w:multiLevelType w:val="hybridMultilevel"/>
    <w:tmpl w:val="CF466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569745">
    <w:abstractNumId w:val="30"/>
  </w:num>
  <w:num w:numId="2" w16cid:durableId="174005304">
    <w:abstractNumId w:val="18"/>
  </w:num>
  <w:num w:numId="3" w16cid:durableId="1424378013">
    <w:abstractNumId w:val="31"/>
  </w:num>
  <w:num w:numId="4" w16cid:durableId="1244726152">
    <w:abstractNumId w:val="12"/>
  </w:num>
  <w:num w:numId="5" w16cid:durableId="620380153">
    <w:abstractNumId w:val="28"/>
  </w:num>
  <w:num w:numId="6" w16cid:durableId="118569617">
    <w:abstractNumId w:val="26"/>
  </w:num>
  <w:num w:numId="7" w16cid:durableId="510686694">
    <w:abstractNumId w:val="6"/>
  </w:num>
  <w:num w:numId="8" w16cid:durableId="1259214016">
    <w:abstractNumId w:val="19"/>
  </w:num>
  <w:num w:numId="9" w16cid:durableId="1672758429">
    <w:abstractNumId w:val="34"/>
  </w:num>
  <w:num w:numId="10" w16cid:durableId="483664533">
    <w:abstractNumId w:val="33"/>
  </w:num>
  <w:num w:numId="11" w16cid:durableId="215967305">
    <w:abstractNumId w:val="7"/>
  </w:num>
  <w:num w:numId="12" w16cid:durableId="2126730560">
    <w:abstractNumId w:val="24"/>
  </w:num>
  <w:num w:numId="13" w16cid:durableId="1996494159">
    <w:abstractNumId w:val="13"/>
  </w:num>
  <w:num w:numId="14" w16cid:durableId="1958097207">
    <w:abstractNumId w:val="25"/>
  </w:num>
  <w:num w:numId="15" w16cid:durableId="1314412023">
    <w:abstractNumId w:val="15"/>
  </w:num>
  <w:num w:numId="16" w16cid:durableId="1955793336">
    <w:abstractNumId w:val="8"/>
  </w:num>
  <w:num w:numId="17" w16cid:durableId="170798171">
    <w:abstractNumId w:val="29"/>
  </w:num>
  <w:num w:numId="18" w16cid:durableId="529337403">
    <w:abstractNumId w:val="20"/>
  </w:num>
  <w:num w:numId="19" w16cid:durableId="934748779">
    <w:abstractNumId w:val="17"/>
  </w:num>
  <w:num w:numId="20" w16cid:durableId="1477526528">
    <w:abstractNumId w:val="0"/>
  </w:num>
  <w:num w:numId="21" w16cid:durableId="1815482902">
    <w:abstractNumId w:val="3"/>
  </w:num>
  <w:num w:numId="22" w16cid:durableId="1902131907">
    <w:abstractNumId w:val="4"/>
  </w:num>
  <w:num w:numId="23" w16cid:durableId="378213538">
    <w:abstractNumId w:val="23"/>
  </w:num>
  <w:num w:numId="24" w16cid:durableId="382994153">
    <w:abstractNumId w:val="21"/>
  </w:num>
  <w:num w:numId="25" w16cid:durableId="859395731">
    <w:abstractNumId w:val="9"/>
  </w:num>
  <w:num w:numId="26" w16cid:durableId="247617985">
    <w:abstractNumId w:val="1"/>
  </w:num>
  <w:num w:numId="27" w16cid:durableId="1999919911">
    <w:abstractNumId w:val="2"/>
  </w:num>
  <w:num w:numId="28" w16cid:durableId="52431578">
    <w:abstractNumId w:val="5"/>
  </w:num>
  <w:num w:numId="29" w16cid:durableId="296498499">
    <w:abstractNumId w:val="14"/>
  </w:num>
  <w:num w:numId="30" w16cid:durableId="1288392223">
    <w:abstractNumId w:val="22"/>
  </w:num>
  <w:num w:numId="31" w16cid:durableId="587933271">
    <w:abstractNumId w:val="11"/>
  </w:num>
  <w:num w:numId="32" w16cid:durableId="169682075">
    <w:abstractNumId w:val="10"/>
  </w:num>
  <w:num w:numId="33" w16cid:durableId="1620068107">
    <w:abstractNumId w:val="16"/>
  </w:num>
  <w:num w:numId="34" w16cid:durableId="1273632635">
    <w:abstractNumId w:val="32"/>
  </w:num>
  <w:num w:numId="35" w16cid:durableId="18394936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9E"/>
    <w:rsid w:val="000053DF"/>
    <w:rsid w:val="00005456"/>
    <w:rsid w:val="00005A58"/>
    <w:rsid w:val="00005CA9"/>
    <w:rsid w:val="00006698"/>
    <w:rsid w:val="00013F79"/>
    <w:rsid w:val="000159DC"/>
    <w:rsid w:val="000161D7"/>
    <w:rsid w:val="0001621F"/>
    <w:rsid w:val="00021500"/>
    <w:rsid w:val="000226B7"/>
    <w:rsid w:val="000231B7"/>
    <w:rsid w:val="0002324A"/>
    <w:rsid w:val="00023B89"/>
    <w:rsid w:val="000328F2"/>
    <w:rsid w:val="00032D7C"/>
    <w:rsid w:val="00034A83"/>
    <w:rsid w:val="00035E55"/>
    <w:rsid w:val="00036AFA"/>
    <w:rsid w:val="00040389"/>
    <w:rsid w:val="00044930"/>
    <w:rsid w:val="00045DBA"/>
    <w:rsid w:val="000474EF"/>
    <w:rsid w:val="0004773C"/>
    <w:rsid w:val="00047C18"/>
    <w:rsid w:val="0005279B"/>
    <w:rsid w:val="00054D5F"/>
    <w:rsid w:val="0005773F"/>
    <w:rsid w:val="00064E01"/>
    <w:rsid w:val="00065679"/>
    <w:rsid w:val="0007513A"/>
    <w:rsid w:val="00077543"/>
    <w:rsid w:val="000803A0"/>
    <w:rsid w:val="00080908"/>
    <w:rsid w:val="0008292E"/>
    <w:rsid w:val="00082A65"/>
    <w:rsid w:val="000862A2"/>
    <w:rsid w:val="00091794"/>
    <w:rsid w:val="00091983"/>
    <w:rsid w:val="000964F5"/>
    <w:rsid w:val="000A0FBC"/>
    <w:rsid w:val="000A1E85"/>
    <w:rsid w:val="000A201B"/>
    <w:rsid w:val="000A39B8"/>
    <w:rsid w:val="000A4450"/>
    <w:rsid w:val="000A6108"/>
    <w:rsid w:val="000A7593"/>
    <w:rsid w:val="000B6246"/>
    <w:rsid w:val="000B79F8"/>
    <w:rsid w:val="000B7A56"/>
    <w:rsid w:val="000C0394"/>
    <w:rsid w:val="000C1A4F"/>
    <w:rsid w:val="000C41F4"/>
    <w:rsid w:val="000C589E"/>
    <w:rsid w:val="000C6DDD"/>
    <w:rsid w:val="000C7488"/>
    <w:rsid w:val="000C78B3"/>
    <w:rsid w:val="000C797B"/>
    <w:rsid w:val="000C7F1E"/>
    <w:rsid w:val="000D1AC2"/>
    <w:rsid w:val="000D5430"/>
    <w:rsid w:val="000D65ED"/>
    <w:rsid w:val="000D7504"/>
    <w:rsid w:val="000E08DA"/>
    <w:rsid w:val="000E206E"/>
    <w:rsid w:val="000E24D5"/>
    <w:rsid w:val="000E38F5"/>
    <w:rsid w:val="000E538F"/>
    <w:rsid w:val="000E7625"/>
    <w:rsid w:val="000F0F75"/>
    <w:rsid w:val="000F1316"/>
    <w:rsid w:val="000F2EF0"/>
    <w:rsid w:val="00101742"/>
    <w:rsid w:val="0010183B"/>
    <w:rsid w:val="001034B6"/>
    <w:rsid w:val="001064B4"/>
    <w:rsid w:val="001111E6"/>
    <w:rsid w:val="00112D40"/>
    <w:rsid w:val="00113514"/>
    <w:rsid w:val="00114DE0"/>
    <w:rsid w:val="00117F40"/>
    <w:rsid w:val="001201C8"/>
    <w:rsid w:val="0012421C"/>
    <w:rsid w:val="00126070"/>
    <w:rsid w:val="00133B69"/>
    <w:rsid w:val="00137EAB"/>
    <w:rsid w:val="0014070C"/>
    <w:rsid w:val="001462D9"/>
    <w:rsid w:val="001468DA"/>
    <w:rsid w:val="00146BA8"/>
    <w:rsid w:val="00151310"/>
    <w:rsid w:val="001529CD"/>
    <w:rsid w:val="0015569E"/>
    <w:rsid w:val="00160A8F"/>
    <w:rsid w:val="00160FDD"/>
    <w:rsid w:val="0016358B"/>
    <w:rsid w:val="00163CEC"/>
    <w:rsid w:val="0017090A"/>
    <w:rsid w:val="00171CB0"/>
    <w:rsid w:val="00180108"/>
    <w:rsid w:val="00180B36"/>
    <w:rsid w:val="00182442"/>
    <w:rsid w:val="0018426C"/>
    <w:rsid w:val="00184A8C"/>
    <w:rsid w:val="00187011"/>
    <w:rsid w:val="00191CED"/>
    <w:rsid w:val="001A14A5"/>
    <w:rsid w:val="001A785F"/>
    <w:rsid w:val="001B0545"/>
    <w:rsid w:val="001B05E2"/>
    <w:rsid w:val="001B646D"/>
    <w:rsid w:val="001C1B62"/>
    <w:rsid w:val="001C21EE"/>
    <w:rsid w:val="001C38DD"/>
    <w:rsid w:val="001C484E"/>
    <w:rsid w:val="001C4869"/>
    <w:rsid w:val="001C56C9"/>
    <w:rsid w:val="001D18D2"/>
    <w:rsid w:val="001D315A"/>
    <w:rsid w:val="001D40D2"/>
    <w:rsid w:val="001D5E19"/>
    <w:rsid w:val="001E1B84"/>
    <w:rsid w:val="001E2A69"/>
    <w:rsid w:val="001E46F9"/>
    <w:rsid w:val="001E5FCC"/>
    <w:rsid w:val="001E6A38"/>
    <w:rsid w:val="001F1258"/>
    <w:rsid w:val="001F1401"/>
    <w:rsid w:val="001F1FFC"/>
    <w:rsid w:val="001F390C"/>
    <w:rsid w:val="001F62A4"/>
    <w:rsid w:val="001F7E2B"/>
    <w:rsid w:val="00200E0E"/>
    <w:rsid w:val="002037A7"/>
    <w:rsid w:val="00205954"/>
    <w:rsid w:val="00206133"/>
    <w:rsid w:val="002065EC"/>
    <w:rsid w:val="00206929"/>
    <w:rsid w:val="00210769"/>
    <w:rsid w:val="00212EAE"/>
    <w:rsid w:val="00215840"/>
    <w:rsid w:val="002202A8"/>
    <w:rsid w:val="002250AB"/>
    <w:rsid w:val="00225298"/>
    <w:rsid w:val="002266A0"/>
    <w:rsid w:val="0022768F"/>
    <w:rsid w:val="002276D2"/>
    <w:rsid w:val="00227DB3"/>
    <w:rsid w:val="002317E9"/>
    <w:rsid w:val="00235728"/>
    <w:rsid w:val="00237113"/>
    <w:rsid w:val="002400D0"/>
    <w:rsid w:val="00240120"/>
    <w:rsid w:val="0024065F"/>
    <w:rsid w:val="00241CD5"/>
    <w:rsid w:val="00241F64"/>
    <w:rsid w:val="00243AF2"/>
    <w:rsid w:val="002503D4"/>
    <w:rsid w:val="002523EE"/>
    <w:rsid w:val="0025495B"/>
    <w:rsid w:val="00255816"/>
    <w:rsid w:val="002572CC"/>
    <w:rsid w:val="00262DC6"/>
    <w:rsid w:val="0026510A"/>
    <w:rsid w:val="0027376A"/>
    <w:rsid w:val="00273DEE"/>
    <w:rsid w:val="00276ACE"/>
    <w:rsid w:val="00276F3D"/>
    <w:rsid w:val="0028084C"/>
    <w:rsid w:val="002821A6"/>
    <w:rsid w:val="0028556D"/>
    <w:rsid w:val="00286FDB"/>
    <w:rsid w:val="00291154"/>
    <w:rsid w:val="002915B0"/>
    <w:rsid w:val="00291B0C"/>
    <w:rsid w:val="00292BF6"/>
    <w:rsid w:val="00295E11"/>
    <w:rsid w:val="002A4345"/>
    <w:rsid w:val="002B0E0A"/>
    <w:rsid w:val="002B1550"/>
    <w:rsid w:val="002B2303"/>
    <w:rsid w:val="002B32F8"/>
    <w:rsid w:val="002B4DF7"/>
    <w:rsid w:val="002B7B69"/>
    <w:rsid w:val="002C0811"/>
    <w:rsid w:val="002C0C68"/>
    <w:rsid w:val="002C0DF8"/>
    <w:rsid w:val="002C7364"/>
    <w:rsid w:val="002C7D1A"/>
    <w:rsid w:val="002C7F71"/>
    <w:rsid w:val="002D209B"/>
    <w:rsid w:val="002D48E5"/>
    <w:rsid w:val="002D5484"/>
    <w:rsid w:val="002D7E93"/>
    <w:rsid w:val="002E00D8"/>
    <w:rsid w:val="002E0594"/>
    <w:rsid w:val="002E116C"/>
    <w:rsid w:val="002E1ADE"/>
    <w:rsid w:val="002E2089"/>
    <w:rsid w:val="002E37D6"/>
    <w:rsid w:val="002E5FEC"/>
    <w:rsid w:val="002F0C9D"/>
    <w:rsid w:val="002F2595"/>
    <w:rsid w:val="002F3723"/>
    <w:rsid w:val="002F3F26"/>
    <w:rsid w:val="0030117F"/>
    <w:rsid w:val="00305E61"/>
    <w:rsid w:val="00306220"/>
    <w:rsid w:val="003070FB"/>
    <w:rsid w:val="00307855"/>
    <w:rsid w:val="00310A5D"/>
    <w:rsid w:val="00313945"/>
    <w:rsid w:val="003169DA"/>
    <w:rsid w:val="00321411"/>
    <w:rsid w:val="0032374E"/>
    <w:rsid w:val="00324521"/>
    <w:rsid w:val="00324AF4"/>
    <w:rsid w:val="003253E7"/>
    <w:rsid w:val="0032609D"/>
    <w:rsid w:val="0032676C"/>
    <w:rsid w:val="00327341"/>
    <w:rsid w:val="003320D2"/>
    <w:rsid w:val="00335D31"/>
    <w:rsid w:val="00337CB1"/>
    <w:rsid w:val="003401E7"/>
    <w:rsid w:val="00341969"/>
    <w:rsid w:val="00342F75"/>
    <w:rsid w:val="00345EDA"/>
    <w:rsid w:val="00346C23"/>
    <w:rsid w:val="00356683"/>
    <w:rsid w:val="0035748D"/>
    <w:rsid w:val="003577DF"/>
    <w:rsid w:val="00361831"/>
    <w:rsid w:val="0036526E"/>
    <w:rsid w:val="00380BB8"/>
    <w:rsid w:val="003821EB"/>
    <w:rsid w:val="00382720"/>
    <w:rsid w:val="00392C2F"/>
    <w:rsid w:val="00394F50"/>
    <w:rsid w:val="00397C5E"/>
    <w:rsid w:val="003A1B75"/>
    <w:rsid w:val="003A2941"/>
    <w:rsid w:val="003A60E7"/>
    <w:rsid w:val="003A7381"/>
    <w:rsid w:val="003B0C96"/>
    <w:rsid w:val="003B0E88"/>
    <w:rsid w:val="003B3702"/>
    <w:rsid w:val="003C0A08"/>
    <w:rsid w:val="003C3E5D"/>
    <w:rsid w:val="003C5A23"/>
    <w:rsid w:val="003D1826"/>
    <w:rsid w:val="003D21C1"/>
    <w:rsid w:val="003D4C03"/>
    <w:rsid w:val="003D523E"/>
    <w:rsid w:val="003E05DE"/>
    <w:rsid w:val="003E0F51"/>
    <w:rsid w:val="003E214D"/>
    <w:rsid w:val="003E4AA0"/>
    <w:rsid w:val="003E68D9"/>
    <w:rsid w:val="003E6B2C"/>
    <w:rsid w:val="003F10C6"/>
    <w:rsid w:val="003F47B1"/>
    <w:rsid w:val="00401EEE"/>
    <w:rsid w:val="00402C08"/>
    <w:rsid w:val="0040675B"/>
    <w:rsid w:val="0040681F"/>
    <w:rsid w:val="00407529"/>
    <w:rsid w:val="004102D9"/>
    <w:rsid w:val="0041355F"/>
    <w:rsid w:val="00414705"/>
    <w:rsid w:val="0041777F"/>
    <w:rsid w:val="00425274"/>
    <w:rsid w:val="00426F25"/>
    <w:rsid w:val="00427A77"/>
    <w:rsid w:val="004300E7"/>
    <w:rsid w:val="00431AFE"/>
    <w:rsid w:val="00437939"/>
    <w:rsid w:val="00437D75"/>
    <w:rsid w:val="0044065A"/>
    <w:rsid w:val="00441956"/>
    <w:rsid w:val="0044376A"/>
    <w:rsid w:val="00445E1F"/>
    <w:rsid w:val="00453C77"/>
    <w:rsid w:val="004562B2"/>
    <w:rsid w:val="00457A09"/>
    <w:rsid w:val="004700BB"/>
    <w:rsid w:val="00472C34"/>
    <w:rsid w:val="00472DB0"/>
    <w:rsid w:val="004749D3"/>
    <w:rsid w:val="0048041F"/>
    <w:rsid w:val="004809C4"/>
    <w:rsid w:val="0048202D"/>
    <w:rsid w:val="00482291"/>
    <w:rsid w:val="00486DAC"/>
    <w:rsid w:val="004877E2"/>
    <w:rsid w:val="00487D87"/>
    <w:rsid w:val="004A1373"/>
    <w:rsid w:val="004A1E96"/>
    <w:rsid w:val="004A39C0"/>
    <w:rsid w:val="004A4E15"/>
    <w:rsid w:val="004A559D"/>
    <w:rsid w:val="004A5793"/>
    <w:rsid w:val="004A6AA3"/>
    <w:rsid w:val="004B0FBE"/>
    <w:rsid w:val="004B27E9"/>
    <w:rsid w:val="004B294E"/>
    <w:rsid w:val="004B33E3"/>
    <w:rsid w:val="004B36D4"/>
    <w:rsid w:val="004B4B89"/>
    <w:rsid w:val="004B642E"/>
    <w:rsid w:val="004C017B"/>
    <w:rsid w:val="004C0ADE"/>
    <w:rsid w:val="004C1625"/>
    <w:rsid w:val="004C1FA5"/>
    <w:rsid w:val="004C2469"/>
    <w:rsid w:val="004C3DCC"/>
    <w:rsid w:val="004C43AF"/>
    <w:rsid w:val="004C602B"/>
    <w:rsid w:val="004C655E"/>
    <w:rsid w:val="004D1561"/>
    <w:rsid w:val="004D4984"/>
    <w:rsid w:val="004D56F2"/>
    <w:rsid w:val="004E0858"/>
    <w:rsid w:val="004E1080"/>
    <w:rsid w:val="004E64BC"/>
    <w:rsid w:val="004E7A1C"/>
    <w:rsid w:val="004F00FC"/>
    <w:rsid w:val="004F0460"/>
    <w:rsid w:val="004F085A"/>
    <w:rsid w:val="004F24A9"/>
    <w:rsid w:val="004F3B38"/>
    <w:rsid w:val="004F5565"/>
    <w:rsid w:val="004F5D59"/>
    <w:rsid w:val="0050144C"/>
    <w:rsid w:val="00507D3A"/>
    <w:rsid w:val="00511E60"/>
    <w:rsid w:val="005124A3"/>
    <w:rsid w:val="00513476"/>
    <w:rsid w:val="00514487"/>
    <w:rsid w:val="00520AE4"/>
    <w:rsid w:val="00522B48"/>
    <w:rsid w:val="00524384"/>
    <w:rsid w:val="00525DA6"/>
    <w:rsid w:val="00527705"/>
    <w:rsid w:val="0054123C"/>
    <w:rsid w:val="005424D4"/>
    <w:rsid w:val="00542EF6"/>
    <w:rsid w:val="00545EF0"/>
    <w:rsid w:val="00547D92"/>
    <w:rsid w:val="00552B40"/>
    <w:rsid w:val="00556E78"/>
    <w:rsid w:val="005577B8"/>
    <w:rsid w:val="00566C24"/>
    <w:rsid w:val="00567047"/>
    <w:rsid w:val="00567F1E"/>
    <w:rsid w:val="00573D95"/>
    <w:rsid w:val="00573FE8"/>
    <w:rsid w:val="00574C73"/>
    <w:rsid w:val="00581A22"/>
    <w:rsid w:val="0058704E"/>
    <w:rsid w:val="00587C1D"/>
    <w:rsid w:val="005906C3"/>
    <w:rsid w:val="00590A91"/>
    <w:rsid w:val="00591E08"/>
    <w:rsid w:val="00594622"/>
    <w:rsid w:val="0059784E"/>
    <w:rsid w:val="00597CFC"/>
    <w:rsid w:val="005A0AC5"/>
    <w:rsid w:val="005A15DB"/>
    <w:rsid w:val="005A23BB"/>
    <w:rsid w:val="005A5411"/>
    <w:rsid w:val="005A6489"/>
    <w:rsid w:val="005B3580"/>
    <w:rsid w:val="005B3A87"/>
    <w:rsid w:val="005B494D"/>
    <w:rsid w:val="005C3A5D"/>
    <w:rsid w:val="005C3B52"/>
    <w:rsid w:val="005C50E1"/>
    <w:rsid w:val="005D0039"/>
    <w:rsid w:val="005D15CE"/>
    <w:rsid w:val="005D1754"/>
    <w:rsid w:val="005D5492"/>
    <w:rsid w:val="005D5DDB"/>
    <w:rsid w:val="005E044E"/>
    <w:rsid w:val="005E1B23"/>
    <w:rsid w:val="005E308A"/>
    <w:rsid w:val="005E34C8"/>
    <w:rsid w:val="005E499C"/>
    <w:rsid w:val="005E7C17"/>
    <w:rsid w:val="005E7C51"/>
    <w:rsid w:val="005F3DD6"/>
    <w:rsid w:val="005F501F"/>
    <w:rsid w:val="00602680"/>
    <w:rsid w:val="00607C1D"/>
    <w:rsid w:val="00610FA3"/>
    <w:rsid w:val="00611BC3"/>
    <w:rsid w:val="00612027"/>
    <w:rsid w:val="00612423"/>
    <w:rsid w:val="00614D87"/>
    <w:rsid w:val="00616738"/>
    <w:rsid w:val="00617C86"/>
    <w:rsid w:val="006238E0"/>
    <w:rsid w:val="00623DA2"/>
    <w:rsid w:val="00625DB2"/>
    <w:rsid w:val="006270A1"/>
    <w:rsid w:val="006357D6"/>
    <w:rsid w:val="00635BBA"/>
    <w:rsid w:val="00636A11"/>
    <w:rsid w:val="00637D8F"/>
    <w:rsid w:val="00642A56"/>
    <w:rsid w:val="00645F0C"/>
    <w:rsid w:val="00651262"/>
    <w:rsid w:val="0065248C"/>
    <w:rsid w:val="00654303"/>
    <w:rsid w:val="00655C37"/>
    <w:rsid w:val="006573ED"/>
    <w:rsid w:val="00660CF3"/>
    <w:rsid w:val="0066309F"/>
    <w:rsid w:val="00663C12"/>
    <w:rsid w:val="00664875"/>
    <w:rsid w:val="006654F6"/>
    <w:rsid w:val="00666660"/>
    <w:rsid w:val="00667196"/>
    <w:rsid w:val="0067130A"/>
    <w:rsid w:val="006759B2"/>
    <w:rsid w:val="00677822"/>
    <w:rsid w:val="00681036"/>
    <w:rsid w:val="0068142E"/>
    <w:rsid w:val="00682CA9"/>
    <w:rsid w:val="0068433C"/>
    <w:rsid w:val="00685554"/>
    <w:rsid w:val="00687F7C"/>
    <w:rsid w:val="006905C9"/>
    <w:rsid w:val="00693454"/>
    <w:rsid w:val="006A11DB"/>
    <w:rsid w:val="006A1931"/>
    <w:rsid w:val="006A1CB2"/>
    <w:rsid w:val="006A4EC2"/>
    <w:rsid w:val="006A5BAC"/>
    <w:rsid w:val="006B154E"/>
    <w:rsid w:val="006B15A0"/>
    <w:rsid w:val="006B4E62"/>
    <w:rsid w:val="006B639E"/>
    <w:rsid w:val="006C1307"/>
    <w:rsid w:val="006C1C50"/>
    <w:rsid w:val="006C1CA1"/>
    <w:rsid w:val="006C354F"/>
    <w:rsid w:val="006C54FA"/>
    <w:rsid w:val="006D29C8"/>
    <w:rsid w:val="006D3D7A"/>
    <w:rsid w:val="006D497D"/>
    <w:rsid w:val="006D60BE"/>
    <w:rsid w:val="006D6CAC"/>
    <w:rsid w:val="006E3F13"/>
    <w:rsid w:val="006E48B3"/>
    <w:rsid w:val="006F11C4"/>
    <w:rsid w:val="006F2A69"/>
    <w:rsid w:val="006F6615"/>
    <w:rsid w:val="00701375"/>
    <w:rsid w:val="007023B1"/>
    <w:rsid w:val="007043F3"/>
    <w:rsid w:val="00704E34"/>
    <w:rsid w:val="0070600E"/>
    <w:rsid w:val="007075B0"/>
    <w:rsid w:val="00714EFE"/>
    <w:rsid w:val="007159C8"/>
    <w:rsid w:val="00716D80"/>
    <w:rsid w:val="00724294"/>
    <w:rsid w:val="007378A9"/>
    <w:rsid w:val="007409DC"/>
    <w:rsid w:val="00740AC8"/>
    <w:rsid w:val="007438BF"/>
    <w:rsid w:val="00744F81"/>
    <w:rsid w:val="007469E5"/>
    <w:rsid w:val="00747A6B"/>
    <w:rsid w:val="00747E0E"/>
    <w:rsid w:val="0075053C"/>
    <w:rsid w:val="007511F2"/>
    <w:rsid w:val="00751C83"/>
    <w:rsid w:val="0075205A"/>
    <w:rsid w:val="00752EDE"/>
    <w:rsid w:val="00752FD9"/>
    <w:rsid w:val="00754485"/>
    <w:rsid w:val="00755C34"/>
    <w:rsid w:val="00756306"/>
    <w:rsid w:val="007566B6"/>
    <w:rsid w:val="00767728"/>
    <w:rsid w:val="0077274E"/>
    <w:rsid w:val="00773A99"/>
    <w:rsid w:val="00774B27"/>
    <w:rsid w:val="007774C4"/>
    <w:rsid w:val="00780351"/>
    <w:rsid w:val="00785929"/>
    <w:rsid w:val="007873DD"/>
    <w:rsid w:val="00793947"/>
    <w:rsid w:val="007950C1"/>
    <w:rsid w:val="0079532D"/>
    <w:rsid w:val="0079603A"/>
    <w:rsid w:val="007A2602"/>
    <w:rsid w:val="007A422D"/>
    <w:rsid w:val="007A43F0"/>
    <w:rsid w:val="007A6869"/>
    <w:rsid w:val="007B023D"/>
    <w:rsid w:val="007B0F83"/>
    <w:rsid w:val="007B1027"/>
    <w:rsid w:val="007B16FE"/>
    <w:rsid w:val="007B2504"/>
    <w:rsid w:val="007B3DEF"/>
    <w:rsid w:val="007D687E"/>
    <w:rsid w:val="007D7FF1"/>
    <w:rsid w:val="007E295E"/>
    <w:rsid w:val="007E3863"/>
    <w:rsid w:val="007E3D21"/>
    <w:rsid w:val="007E51F7"/>
    <w:rsid w:val="007E5E79"/>
    <w:rsid w:val="007F10FC"/>
    <w:rsid w:val="007F124A"/>
    <w:rsid w:val="007F31B3"/>
    <w:rsid w:val="007F4C5E"/>
    <w:rsid w:val="007F5FD8"/>
    <w:rsid w:val="007F6047"/>
    <w:rsid w:val="007F6424"/>
    <w:rsid w:val="007F7021"/>
    <w:rsid w:val="00801584"/>
    <w:rsid w:val="00804705"/>
    <w:rsid w:val="0080576D"/>
    <w:rsid w:val="00806BDC"/>
    <w:rsid w:val="008075F1"/>
    <w:rsid w:val="0081133C"/>
    <w:rsid w:val="00815D38"/>
    <w:rsid w:val="00816B50"/>
    <w:rsid w:val="00817F72"/>
    <w:rsid w:val="0082077E"/>
    <w:rsid w:val="00823497"/>
    <w:rsid w:val="00823D6C"/>
    <w:rsid w:val="00825297"/>
    <w:rsid w:val="008304D8"/>
    <w:rsid w:val="00832C20"/>
    <w:rsid w:val="00833D31"/>
    <w:rsid w:val="00841F6F"/>
    <w:rsid w:val="00841F8F"/>
    <w:rsid w:val="00842A9E"/>
    <w:rsid w:val="008512CF"/>
    <w:rsid w:val="0085137A"/>
    <w:rsid w:val="008531E8"/>
    <w:rsid w:val="00856EA3"/>
    <w:rsid w:val="008572A6"/>
    <w:rsid w:val="0086073D"/>
    <w:rsid w:val="00861A05"/>
    <w:rsid w:val="00862C34"/>
    <w:rsid w:val="00864371"/>
    <w:rsid w:val="00872266"/>
    <w:rsid w:val="00872B10"/>
    <w:rsid w:val="008773ED"/>
    <w:rsid w:val="00881642"/>
    <w:rsid w:val="00884259"/>
    <w:rsid w:val="00885C81"/>
    <w:rsid w:val="00887C61"/>
    <w:rsid w:val="0089636C"/>
    <w:rsid w:val="00897AE3"/>
    <w:rsid w:val="00897DBB"/>
    <w:rsid w:val="008A06CA"/>
    <w:rsid w:val="008A53B1"/>
    <w:rsid w:val="008A7281"/>
    <w:rsid w:val="008A76F9"/>
    <w:rsid w:val="008B0770"/>
    <w:rsid w:val="008C026A"/>
    <w:rsid w:val="008C0A62"/>
    <w:rsid w:val="008C2623"/>
    <w:rsid w:val="008C282D"/>
    <w:rsid w:val="008C552B"/>
    <w:rsid w:val="008C6DCB"/>
    <w:rsid w:val="008D040F"/>
    <w:rsid w:val="008D1271"/>
    <w:rsid w:val="008D46C3"/>
    <w:rsid w:val="008D46E6"/>
    <w:rsid w:val="008D5F5C"/>
    <w:rsid w:val="008D6729"/>
    <w:rsid w:val="008E4D67"/>
    <w:rsid w:val="008E5C4C"/>
    <w:rsid w:val="008E6521"/>
    <w:rsid w:val="008E67F2"/>
    <w:rsid w:val="008E7D25"/>
    <w:rsid w:val="008F6E59"/>
    <w:rsid w:val="00902498"/>
    <w:rsid w:val="009036AB"/>
    <w:rsid w:val="00907D20"/>
    <w:rsid w:val="00911CF2"/>
    <w:rsid w:val="00912519"/>
    <w:rsid w:val="00912E21"/>
    <w:rsid w:val="0091719A"/>
    <w:rsid w:val="0091771F"/>
    <w:rsid w:val="009214F4"/>
    <w:rsid w:val="00921D02"/>
    <w:rsid w:val="009266B1"/>
    <w:rsid w:val="00931766"/>
    <w:rsid w:val="00934C0D"/>
    <w:rsid w:val="00935DDC"/>
    <w:rsid w:val="0094233D"/>
    <w:rsid w:val="009427DB"/>
    <w:rsid w:val="009432BE"/>
    <w:rsid w:val="00944344"/>
    <w:rsid w:val="00946298"/>
    <w:rsid w:val="0094633C"/>
    <w:rsid w:val="0095415C"/>
    <w:rsid w:val="00954319"/>
    <w:rsid w:val="009548E4"/>
    <w:rsid w:val="00954D7B"/>
    <w:rsid w:val="00955EBE"/>
    <w:rsid w:val="00957656"/>
    <w:rsid w:val="00963EA1"/>
    <w:rsid w:val="00967AAD"/>
    <w:rsid w:val="00971131"/>
    <w:rsid w:val="009727CD"/>
    <w:rsid w:val="00975120"/>
    <w:rsid w:val="0097614E"/>
    <w:rsid w:val="00977537"/>
    <w:rsid w:val="00983BDC"/>
    <w:rsid w:val="009906F8"/>
    <w:rsid w:val="00990745"/>
    <w:rsid w:val="009918D3"/>
    <w:rsid w:val="00991F0E"/>
    <w:rsid w:val="00996AAF"/>
    <w:rsid w:val="009978CA"/>
    <w:rsid w:val="009B0542"/>
    <w:rsid w:val="009B2CA7"/>
    <w:rsid w:val="009B458E"/>
    <w:rsid w:val="009C1BA6"/>
    <w:rsid w:val="009C4B17"/>
    <w:rsid w:val="009C634D"/>
    <w:rsid w:val="009D093F"/>
    <w:rsid w:val="009D234D"/>
    <w:rsid w:val="009D5202"/>
    <w:rsid w:val="009D7C8A"/>
    <w:rsid w:val="009E2B06"/>
    <w:rsid w:val="009E2E3F"/>
    <w:rsid w:val="009E5AE3"/>
    <w:rsid w:val="009F03EB"/>
    <w:rsid w:val="009F14DF"/>
    <w:rsid w:val="009F3B35"/>
    <w:rsid w:val="009F6629"/>
    <w:rsid w:val="009F7712"/>
    <w:rsid w:val="009F77EF"/>
    <w:rsid w:val="00A01C49"/>
    <w:rsid w:val="00A06D71"/>
    <w:rsid w:val="00A073AA"/>
    <w:rsid w:val="00A14647"/>
    <w:rsid w:val="00A17A6E"/>
    <w:rsid w:val="00A21FD1"/>
    <w:rsid w:val="00A242F7"/>
    <w:rsid w:val="00A32834"/>
    <w:rsid w:val="00A32D44"/>
    <w:rsid w:val="00A34533"/>
    <w:rsid w:val="00A35CCC"/>
    <w:rsid w:val="00A37CDA"/>
    <w:rsid w:val="00A40AC6"/>
    <w:rsid w:val="00A44087"/>
    <w:rsid w:val="00A51B3F"/>
    <w:rsid w:val="00A557CD"/>
    <w:rsid w:val="00A57304"/>
    <w:rsid w:val="00A573B0"/>
    <w:rsid w:val="00A61FF5"/>
    <w:rsid w:val="00A6439F"/>
    <w:rsid w:val="00A6491F"/>
    <w:rsid w:val="00A663FB"/>
    <w:rsid w:val="00A70864"/>
    <w:rsid w:val="00A72658"/>
    <w:rsid w:val="00A726C8"/>
    <w:rsid w:val="00A7781B"/>
    <w:rsid w:val="00A77FB4"/>
    <w:rsid w:val="00A83641"/>
    <w:rsid w:val="00A85C6E"/>
    <w:rsid w:val="00A86400"/>
    <w:rsid w:val="00A94826"/>
    <w:rsid w:val="00A95853"/>
    <w:rsid w:val="00A96404"/>
    <w:rsid w:val="00AA0188"/>
    <w:rsid w:val="00AB20BC"/>
    <w:rsid w:val="00AB3458"/>
    <w:rsid w:val="00AB34FF"/>
    <w:rsid w:val="00AB6A5F"/>
    <w:rsid w:val="00AB6C62"/>
    <w:rsid w:val="00AC0441"/>
    <w:rsid w:val="00AC07F1"/>
    <w:rsid w:val="00AC3350"/>
    <w:rsid w:val="00AC3464"/>
    <w:rsid w:val="00AC45AC"/>
    <w:rsid w:val="00AC6931"/>
    <w:rsid w:val="00AC7F44"/>
    <w:rsid w:val="00AD15F0"/>
    <w:rsid w:val="00AE3558"/>
    <w:rsid w:val="00AE52D1"/>
    <w:rsid w:val="00AF5BC3"/>
    <w:rsid w:val="00B02A2E"/>
    <w:rsid w:val="00B034DB"/>
    <w:rsid w:val="00B07A25"/>
    <w:rsid w:val="00B11D9E"/>
    <w:rsid w:val="00B13D19"/>
    <w:rsid w:val="00B168CD"/>
    <w:rsid w:val="00B170D8"/>
    <w:rsid w:val="00B171B0"/>
    <w:rsid w:val="00B2570D"/>
    <w:rsid w:val="00B268F2"/>
    <w:rsid w:val="00B31D98"/>
    <w:rsid w:val="00B32500"/>
    <w:rsid w:val="00B43637"/>
    <w:rsid w:val="00B44565"/>
    <w:rsid w:val="00B47695"/>
    <w:rsid w:val="00B53438"/>
    <w:rsid w:val="00B57672"/>
    <w:rsid w:val="00B57F56"/>
    <w:rsid w:val="00B610F6"/>
    <w:rsid w:val="00B61A21"/>
    <w:rsid w:val="00B6399E"/>
    <w:rsid w:val="00B7625D"/>
    <w:rsid w:val="00B76597"/>
    <w:rsid w:val="00B81350"/>
    <w:rsid w:val="00B81BFC"/>
    <w:rsid w:val="00B82529"/>
    <w:rsid w:val="00B84EB7"/>
    <w:rsid w:val="00B87697"/>
    <w:rsid w:val="00B87C82"/>
    <w:rsid w:val="00B9085F"/>
    <w:rsid w:val="00B920EF"/>
    <w:rsid w:val="00B9420E"/>
    <w:rsid w:val="00B968AC"/>
    <w:rsid w:val="00B97F48"/>
    <w:rsid w:val="00BA3D21"/>
    <w:rsid w:val="00BA5904"/>
    <w:rsid w:val="00BB2A63"/>
    <w:rsid w:val="00BB7079"/>
    <w:rsid w:val="00BB745E"/>
    <w:rsid w:val="00BB7CE8"/>
    <w:rsid w:val="00BC1B7B"/>
    <w:rsid w:val="00BC3379"/>
    <w:rsid w:val="00BC5177"/>
    <w:rsid w:val="00BD015E"/>
    <w:rsid w:val="00BD3365"/>
    <w:rsid w:val="00BE0E13"/>
    <w:rsid w:val="00BE1E0F"/>
    <w:rsid w:val="00BE2CC8"/>
    <w:rsid w:val="00BE3B16"/>
    <w:rsid w:val="00BE6617"/>
    <w:rsid w:val="00BE6897"/>
    <w:rsid w:val="00BF19A6"/>
    <w:rsid w:val="00BF3134"/>
    <w:rsid w:val="00BF4120"/>
    <w:rsid w:val="00BF4D6F"/>
    <w:rsid w:val="00BF52B2"/>
    <w:rsid w:val="00BF6FFA"/>
    <w:rsid w:val="00C029F8"/>
    <w:rsid w:val="00C037AA"/>
    <w:rsid w:val="00C04A60"/>
    <w:rsid w:val="00C04C5F"/>
    <w:rsid w:val="00C056B9"/>
    <w:rsid w:val="00C065CA"/>
    <w:rsid w:val="00C06EE5"/>
    <w:rsid w:val="00C103A1"/>
    <w:rsid w:val="00C124E9"/>
    <w:rsid w:val="00C131C9"/>
    <w:rsid w:val="00C15A3E"/>
    <w:rsid w:val="00C20C8A"/>
    <w:rsid w:val="00C30BCE"/>
    <w:rsid w:val="00C30F94"/>
    <w:rsid w:val="00C42A64"/>
    <w:rsid w:val="00C44290"/>
    <w:rsid w:val="00C45C6E"/>
    <w:rsid w:val="00C45D10"/>
    <w:rsid w:val="00C56B53"/>
    <w:rsid w:val="00C61734"/>
    <w:rsid w:val="00C666FA"/>
    <w:rsid w:val="00C722B3"/>
    <w:rsid w:val="00C74ABE"/>
    <w:rsid w:val="00C77445"/>
    <w:rsid w:val="00C81FDF"/>
    <w:rsid w:val="00C835BF"/>
    <w:rsid w:val="00C846A2"/>
    <w:rsid w:val="00C84D89"/>
    <w:rsid w:val="00C85518"/>
    <w:rsid w:val="00C870DC"/>
    <w:rsid w:val="00C8776B"/>
    <w:rsid w:val="00C91D16"/>
    <w:rsid w:val="00C91EBF"/>
    <w:rsid w:val="00C9382A"/>
    <w:rsid w:val="00C9512D"/>
    <w:rsid w:val="00C952C7"/>
    <w:rsid w:val="00C95B9A"/>
    <w:rsid w:val="00CA41AD"/>
    <w:rsid w:val="00CA5207"/>
    <w:rsid w:val="00CB0E73"/>
    <w:rsid w:val="00CB5AEA"/>
    <w:rsid w:val="00CB5F5D"/>
    <w:rsid w:val="00CB6B61"/>
    <w:rsid w:val="00CC2BFB"/>
    <w:rsid w:val="00CC5230"/>
    <w:rsid w:val="00CC5554"/>
    <w:rsid w:val="00CC699D"/>
    <w:rsid w:val="00CD036C"/>
    <w:rsid w:val="00CD0BFD"/>
    <w:rsid w:val="00CD0E39"/>
    <w:rsid w:val="00CD238D"/>
    <w:rsid w:val="00CD2524"/>
    <w:rsid w:val="00CD37B9"/>
    <w:rsid w:val="00CD4FA0"/>
    <w:rsid w:val="00CD503A"/>
    <w:rsid w:val="00CD6773"/>
    <w:rsid w:val="00CE050C"/>
    <w:rsid w:val="00CE060D"/>
    <w:rsid w:val="00CE1D84"/>
    <w:rsid w:val="00CE53C5"/>
    <w:rsid w:val="00CE5714"/>
    <w:rsid w:val="00CE7E1B"/>
    <w:rsid w:val="00CF1B77"/>
    <w:rsid w:val="00CF1DAE"/>
    <w:rsid w:val="00CF1FEF"/>
    <w:rsid w:val="00CF2C18"/>
    <w:rsid w:val="00D000D8"/>
    <w:rsid w:val="00D056E7"/>
    <w:rsid w:val="00D1037F"/>
    <w:rsid w:val="00D12466"/>
    <w:rsid w:val="00D12619"/>
    <w:rsid w:val="00D12A64"/>
    <w:rsid w:val="00D149AE"/>
    <w:rsid w:val="00D15A0F"/>
    <w:rsid w:val="00D21018"/>
    <w:rsid w:val="00D22A38"/>
    <w:rsid w:val="00D24363"/>
    <w:rsid w:val="00D30FDB"/>
    <w:rsid w:val="00D41BC7"/>
    <w:rsid w:val="00D4380F"/>
    <w:rsid w:val="00D43B6E"/>
    <w:rsid w:val="00D43C9A"/>
    <w:rsid w:val="00D52B2F"/>
    <w:rsid w:val="00D53A55"/>
    <w:rsid w:val="00D53B98"/>
    <w:rsid w:val="00D53BA8"/>
    <w:rsid w:val="00D54F06"/>
    <w:rsid w:val="00D57169"/>
    <w:rsid w:val="00D625B1"/>
    <w:rsid w:val="00D658C9"/>
    <w:rsid w:val="00D716E2"/>
    <w:rsid w:val="00D74B4B"/>
    <w:rsid w:val="00D77451"/>
    <w:rsid w:val="00D8209F"/>
    <w:rsid w:val="00D85E20"/>
    <w:rsid w:val="00D876BA"/>
    <w:rsid w:val="00D877AB"/>
    <w:rsid w:val="00D93AEE"/>
    <w:rsid w:val="00D94B02"/>
    <w:rsid w:val="00D95C34"/>
    <w:rsid w:val="00D95F1F"/>
    <w:rsid w:val="00DA7E36"/>
    <w:rsid w:val="00DB0123"/>
    <w:rsid w:val="00DB01DE"/>
    <w:rsid w:val="00DB0811"/>
    <w:rsid w:val="00DB2993"/>
    <w:rsid w:val="00DB4785"/>
    <w:rsid w:val="00DB54C9"/>
    <w:rsid w:val="00DC01E7"/>
    <w:rsid w:val="00DC24A6"/>
    <w:rsid w:val="00DC29CC"/>
    <w:rsid w:val="00DC5CA9"/>
    <w:rsid w:val="00DC76B0"/>
    <w:rsid w:val="00DC7D14"/>
    <w:rsid w:val="00DD3654"/>
    <w:rsid w:val="00DD373A"/>
    <w:rsid w:val="00DD3E3E"/>
    <w:rsid w:val="00DD47EA"/>
    <w:rsid w:val="00DD5562"/>
    <w:rsid w:val="00DD596E"/>
    <w:rsid w:val="00DD67BD"/>
    <w:rsid w:val="00DE596F"/>
    <w:rsid w:val="00DE6456"/>
    <w:rsid w:val="00DF0636"/>
    <w:rsid w:val="00DF0B46"/>
    <w:rsid w:val="00DF2204"/>
    <w:rsid w:val="00DF2D4C"/>
    <w:rsid w:val="00DF462F"/>
    <w:rsid w:val="00E00B40"/>
    <w:rsid w:val="00E01840"/>
    <w:rsid w:val="00E05780"/>
    <w:rsid w:val="00E0614D"/>
    <w:rsid w:val="00E124B5"/>
    <w:rsid w:val="00E12DDB"/>
    <w:rsid w:val="00E12FF0"/>
    <w:rsid w:val="00E152B3"/>
    <w:rsid w:val="00E21639"/>
    <w:rsid w:val="00E24D5A"/>
    <w:rsid w:val="00E30722"/>
    <w:rsid w:val="00E31068"/>
    <w:rsid w:val="00E32182"/>
    <w:rsid w:val="00E349E6"/>
    <w:rsid w:val="00E36F8C"/>
    <w:rsid w:val="00E3747B"/>
    <w:rsid w:val="00E37B43"/>
    <w:rsid w:val="00E43E2D"/>
    <w:rsid w:val="00E51E60"/>
    <w:rsid w:val="00E541AF"/>
    <w:rsid w:val="00E550F0"/>
    <w:rsid w:val="00E55130"/>
    <w:rsid w:val="00E55AC9"/>
    <w:rsid w:val="00E57A1D"/>
    <w:rsid w:val="00E60FB9"/>
    <w:rsid w:val="00E63BB3"/>
    <w:rsid w:val="00E6684D"/>
    <w:rsid w:val="00E67A0E"/>
    <w:rsid w:val="00E713E9"/>
    <w:rsid w:val="00E734A7"/>
    <w:rsid w:val="00E75807"/>
    <w:rsid w:val="00E75F38"/>
    <w:rsid w:val="00E76BD2"/>
    <w:rsid w:val="00E778F4"/>
    <w:rsid w:val="00E83FCA"/>
    <w:rsid w:val="00E87D19"/>
    <w:rsid w:val="00E908F1"/>
    <w:rsid w:val="00EA03EE"/>
    <w:rsid w:val="00EA2BDF"/>
    <w:rsid w:val="00EA35D4"/>
    <w:rsid w:val="00EA73B6"/>
    <w:rsid w:val="00EB0D08"/>
    <w:rsid w:val="00EB181D"/>
    <w:rsid w:val="00EB2CDD"/>
    <w:rsid w:val="00EB52E9"/>
    <w:rsid w:val="00EB6F5B"/>
    <w:rsid w:val="00EC50B4"/>
    <w:rsid w:val="00EC5C06"/>
    <w:rsid w:val="00EC5EB4"/>
    <w:rsid w:val="00EC61C0"/>
    <w:rsid w:val="00EC7123"/>
    <w:rsid w:val="00ED2BA3"/>
    <w:rsid w:val="00EE5CAE"/>
    <w:rsid w:val="00EE6130"/>
    <w:rsid w:val="00EE681D"/>
    <w:rsid w:val="00EF0FB2"/>
    <w:rsid w:val="00EF1537"/>
    <w:rsid w:val="00EF33FE"/>
    <w:rsid w:val="00EF362F"/>
    <w:rsid w:val="00EF3D59"/>
    <w:rsid w:val="00EF5B8F"/>
    <w:rsid w:val="00EF6ABB"/>
    <w:rsid w:val="00F00768"/>
    <w:rsid w:val="00F02E3E"/>
    <w:rsid w:val="00F03B7E"/>
    <w:rsid w:val="00F07B27"/>
    <w:rsid w:val="00F10544"/>
    <w:rsid w:val="00F14DBB"/>
    <w:rsid w:val="00F15BE1"/>
    <w:rsid w:val="00F16571"/>
    <w:rsid w:val="00F17708"/>
    <w:rsid w:val="00F245DC"/>
    <w:rsid w:val="00F247D2"/>
    <w:rsid w:val="00F24B90"/>
    <w:rsid w:val="00F251C0"/>
    <w:rsid w:val="00F2617E"/>
    <w:rsid w:val="00F273B2"/>
    <w:rsid w:val="00F32041"/>
    <w:rsid w:val="00F32422"/>
    <w:rsid w:val="00F34FBD"/>
    <w:rsid w:val="00F35E39"/>
    <w:rsid w:val="00F35E49"/>
    <w:rsid w:val="00F36329"/>
    <w:rsid w:val="00F36B3B"/>
    <w:rsid w:val="00F3757F"/>
    <w:rsid w:val="00F37BE7"/>
    <w:rsid w:val="00F41152"/>
    <w:rsid w:val="00F419B6"/>
    <w:rsid w:val="00F41B08"/>
    <w:rsid w:val="00F42C3B"/>
    <w:rsid w:val="00F436A5"/>
    <w:rsid w:val="00F45FEB"/>
    <w:rsid w:val="00F50000"/>
    <w:rsid w:val="00F507BE"/>
    <w:rsid w:val="00F50EEC"/>
    <w:rsid w:val="00F52A9D"/>
    <w:rsid w:val="00F535D1"/>
    <w:rsid w:val="00F56BD9"/>
    <w:rsid w:val="00F57D34"/>
    <w:rsid w:val="00F625FE"/>
    <w:rsid w:val="00F6391D"/>
    <w:rsid w:val="00F6444A"/>
    <w:rsid w:val="00F647E3"/>
    <w:rsid w:val="00F65C28"/>
    <w:rsid w:val="00F67427"/>
    <w:rsid w:val="00F72FE5"/>
    <w:rsid w:val="00F74307"/>
    <w:rsid w:val="00F7512D"/>
    <w:rsid w:val="00F7531F"/>
    <w:rsid w:val="00F775A3"/>
    <w:rsid w:val="00F81909"/>
    <w:rsid w:val="00F81EC5"/>
    <w:rsid w:val="00F84A00"/>
    <w:rsid w:val="00F909C5"/>
    <w:rsid w:val="00F90B14"/>
    <w:rsid w:val="00F92165"/>
    <w:rsid w:val="00F930E1"/>
    <w:rsid w:val="00F93565"/>
    <w:rsid w:val="00F964C6"/>
    <w:rsid w:val="00F96D88"/>
    <w:rsid w:val="00FA12CC"/>
    <w:rsid w:val="00FA364F"/>
    <w:rsid w:val="00FA7EFE"/>
    <w:rsid w:val="00FB1EBF"/>
    <w:rsid w:val="00FB7F6A"/>
    <w:rsid w:val="00FC26E7"/>
    <w:rsid w:val="00FC67EC"/>
    <w:rsid w:val="00FC6A8E"/>
    <w:rsid w:val="00FC6DA4"/>
    <w:rsid w:val="00FD022F"/>
    <w:rsid w:val="00FD2E54"/>
    <w:rsid w:val="00FD5847"/>
    <w:rsid w:val="00FD7E38"/>
    <w:rsid w:val="00FE1C1C"/>
    <w:rsid w:val="00FE3B61"/>
    <w:rsid w:val="00FF4C93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0131E"/>
  <w15:chartTrackingRefBased/>
  <w15:docId w15:val="{28AB6100-D488-4DAE-83F8-5C65E72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Heading2"/>
    <w:link w:val="Heading1Char"/>
    <w:uiPriority w:val="3"/>
    <w:qFormat/>
    <w:rsid w:val="00126070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126070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6B6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126070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126070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126070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126070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126070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126070"/>
    <w:rPr>
      <w:color w:val="00ABBC"/>
    </w:rPr>
  </w:style>
  <w:style w:type="table" w:styleId="TableGrid">
    <w:name w:val="Table Grid"/>
    <w:basedOn w:val="TableNormal"/>
    <w:uiPriority w:val="59"/>
    <w:rsid w:val="0012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3DD"/>
    <w:pPr>
      <w:spacing w:after="0" w:line="240" w:lineRule="auto"/>
    </w:pPr>
  </w:style>
  <w:style w:type="character" w:customStyle="1" w:styleId="ui-provider">
    <w:name w:val="ui-provider"/>
    <w:basedOn w:val="DefaultParagraphFont"/>
    <w:rsid w:val="00206929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5A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B309-68BD-4E3E-B233-F66CCF5F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10</cp:revision>
  <dcterms:created xsi:type="dcterms:W3CDTF">2024-05-30T15:11:00Z</dcterms:created>
  <dcterms:modified xsi:type="dcterms:W3CDTF">2024-09-24T10:38:00Z</dcterms:modified>
</cp:coreProperties>
</file>